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38F1B310" w:rsidR="00DA189E" w:rsidRPr="00762381" w:rsidRDefault="0039349C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>
        <w:rPr>
          <w:rFonts w:ascii="Candara" w:hAnsi="Candara"/>
          <w:b/>
          <w:color w:val="E36C0A" w:themeColor="accent6" w:themeShade="BF"/>
          <w:sz w:val="56"/>
          <w:szCs w:val="52"/>
        </w:rPr>
        <w:t>ESENCIA DE CANADÁ</w:t>
      </w:r>
    </w:p>
    <w:p w14:paraId="3FEF0ED8" w14:textId="439149C1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FF62F1">
        <w:rPr>
          <w:rFonts w:ascii="Candara" w:hAnsi="Candara"/>
          <w:b/>
          <w:color w:val="E36C0A" w:themeColor="accent6" w:themeShade="BF"/>
          <w:sz w:val="32"/>
          <w:szCs w:val="32"/>
        </w:rPr>
        <w:t>7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FF62F1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6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68BAF84B" w14:textId="77777777" w:rsidR="00DE31DF" w:rsidRDefault="00DE31DF" w:rsidP="00DE31DF">
      <w:pPr>
        <w:jc w:val="both"/>
        <w:rPr>
          <w:rFonts w:ascii="Arial Narrow" w:hAnsi="Arial Narrow"/>
          <w:bCs/>
        </w:rPr>
      </w:pPr>
    </w:p>
    <w:p w14:paraId="1D0A3CB1" w14:textId="57CBF22E" w:rsidR="003D669B" w:rsidRPr="00E5301D" w:rsidRDefault="003D669B" w:rsidP="00DE31DF">
      <w:pPr>
        <w:jc w:val="both"/>
        <w:rPr>
          <w:rFonts w:ascii="Arial Narrow" w:hAnsi="Arial Narrow"/>
          <w:b/>
          <w:bCs/>
        </w:rPr>
      </w:pPr>
      <w:r w:rsidRPr="00E5301D">
        <w:rPr>
          <w:rFonts w:ascii="Arial Narrow" w:hAnsi="Arial Narrow"/>
          <w:b/>
          <w:bCs/>
          <w:color w:val="E36C0A" w:themeColor="accent6" w:themeShade="BF"/>
        </w:rPr>
        <w:t>DÍA 1 (DOMIGO) / TORONTO</w:t>
      </w:r>
    </w:p>
    <w:p w14:paraId="499ED5E2" w14:textId="16440E43" w:rsidR="003D669B" w:rsidRDefault="003D669B" w:rsidP="001D6DF8">
      <w:pPr>
        <w:jc w:val="both"/>
        <w:rPr>
          <w:rFonts w:ascii="Arial Narrow" w:hAnsi="Arial Narrow"/>
          <w:bCs/>
        </w:rPr>
      </w:pPr>
      <w:r w:rsidRPr="003D669B">
        <w:rPr>
          <w:rFonts w:ascii="Arial Narrow" w:hAnsi="Arial Narrow"/>
          <w:bCs/>
        </w:rPr>
        <w:t xml:space="preserve">Bienvenidos a Toronto. </w:t>
      </w:r>
      <w:r>
        <w:rPr>
          <w:rFonts w:ascii="Arial Narrow" w:hAnsi="Arial Narrow"/>
          <w:bCs/>
        </w:rPr>
        <w:t xml:space="preserve">Encuentro con uno de nuestros representantes en el aeropuerto. Posteriormente, traslado </w:t>
      </w:r>
      <w:r w:rsidRPr="003D669B">
        <w:rPr>
          <w:rFonts w:ascii="Arial Narrow" w:hAnsi="Arial Narrow"/>
          <w:bCs/>
        </w:rPr>
        <w:t>al hotel. Tiempo</w:t>
      </w:r>
      <w:r>
        <w:rPr>
          <w:rFonts w:ascii="Arial Narrow" w:hAnsi="Arial Narrow"/>
          <w:bCs/>
        </w:rPr>
        <w:t xml:space="preserve"> libre para explorar la ciudad. Alojamiento en Toronto.</w:t>
      </w:r>
    </w:p>
    <w:p w14:paraId="4BE3E26D" w14:textId="77777777" w:rsidR="003D669B" w:rsidRDefault="003D669B" w:rsidP="001D6DF8">
      <w:pPr>
        <w:jc w:val="both"/>
        <w:rPr>
          <w:rFonts w:ascii="Arial Narrow" w:hAnsi="Arial Narrow"/>
          <w:bCs/>
        </w:rPr>
      </w:pPr>
    </w:p>
    <w:p w14:paraId="00725162" w14:textId="543DF4BA" w:rsidR="003D669B" w:rsidRPr="00E5301D" w:rsidRDefault="003D669B" w:rsidP="001D6DF8">
      <w:pPr>
        <w:jc w:val="both"/>
        <w:rPr>
          <w:rFonts w:ascii="Arial Narrow" w:hAnsi="Arial Narrow"/>
          <w:b/>
          <w:bCs/>
        </w:rPr>
      </w:pPr>
      <w:r w:rsidRPr="00E5301D">
        <w:rPr>
          <w:rFonts w:ascii="Arial Narrow" w:hAnsi="Arial Narrow"/>
          <w:b/>
          <w:bCs/>
          <w:color w:val="E36C0A" w:themeColor="accent6" w:themeShade="BF"/>
        </w:rPr>
        <w:t>DÍA 2 (LUNES) / TORONTO – NIÁGARA</w:t>
      </w:r>
      <w:r w:rsidR="00CE72B9" w:rsidRPr="00E5301D">
        <w:rPr>
          <w:rFonts w:ascii="Arial Narrow" w:hAnsi="Arial Narrow"/>
          <w:b/>
          <w:bCs/>
          <w:color w:val="E36C0A" w:themeColor="accent6" w:themeShade="BF"/>
        </w:rPr>
        <w:t xml:space="preserve"> (132 KM)</w:t>
      </w:r>
    </w:p>
    <w:p w14:paraId="6B9A3BAB" w14:textId="41E936E1" w:rsidR="003D669B" w:rsidRDefault="00CE72B9" w:rsidP="00CE72B9">
      <w:pPr>
        <w:jc w:val="both"/>
        <w:rPr>
          <w:rFonts w:ascii="Arial Narrow" w:hAnsi="Arial Narrow"/>
          <w:bCs/>
        </w:rPr>
      </w:pPr>
      <w:r w:rsidRPr="00CE72B9">
        <w:rPr>
          <w:rFonts w:ascii="Arial Narrow" w:hAnsi="Arial Narrow"/>
          <w:bCs/>
        </w:rPr>
        <w:t>Desayuno en el hotel. El recorrido empieza visitando Toron</w:t>
      </w:r>
      <w:r>
        <w:rPr>
          <w:rFonts w:ascii="Arial Narrow" w:hAnsi="Arial Narrow"/>
          <w:bCs/>
        </w:rPr>
        <w:t xml:space="preserve">to, capital económica del país, </w:t>
      </w:r>
      <w:r w:rsidRPr="00CE72B9">
        <w:rPr>
          <w:rFonts w:ascii="Arial Narrow" w:hAnsi="Arial Narrow"/>
          <w:bCs/>
        </w:rPr>
        <w:t>recorrido por el antiguo y nuevo City Hall, el Parlamento, el barrio Chino, la Universidad de Toronto,</w:t>
      </w:r>
      <w:r>
        <w:rPr>
          <w:rFonts w:ascii="Arial Narrow" w:hAnsi="Arial Narrow"/>
          <w:bCs/>
        </w:rPr>
        <w:t xml:space="preserve"> la Torre CN (subida opcional). </w:t>
      </w:r>
      <w:r w:rsidRPr="00CE72B9">
        <w:rPr>
          <w:rFonts w:ascii="Arial Narrow" w:hAnsi="Arial Narrow"/>
          <w:bCs/>
        </w:rPr>
        <w:t>Continuaremos nuestro paseo para lleg</w:t>
      </w:r>
      <w:r>
        <w:rPr>
          <w:rFonts w:ascii="Arial Narrow" w:hAnsi="Arial Narrow"/>
          <w:bCs/>
        </w:rPr>
        <w:t>ar a las Cataratas del Niágara. La excursión en barco “</w:t>
      </w:r>
      <w:proofErr w:type="spellStart"/>
      <w:r>
        <w:rPr>
          <w:rFonts w:ascii="Arial Narrow" w:hAnsi="Arial Narrow"/>
          <w:bCs/>
        </w:rPr>
        <w:t>Voyage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to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the</w:t>
      </w:r>
      <w:proofErr w:type="spellEnd"/>
      <w:r>
        <w:rPr>
          <w:rFonts w:ascii="Arial Narrow" w:hAnsi="Arial Narrow"/>
          <w:bCs/>
        </w:rPr>
        <w:t xml:space="preserve"> Falls” (disponible del 15 de mayo al 15 de octubre, fuera de estas fechas, </w:t>
      </w:r>
      <w:r w:rsidRPr="00CE72B9">
        <w:rPr>
          <w:rFonts w:ascii="Arial Narrow" w:hAnsi="Arial Narrow"/>
          <w:bCs/>
        </w:rPr>
        <w:t>reemplazado por tún</w:t>
      </w:r>
      <w:r>
        <w:rPr>
          <w:rFonts w:ascii="Arial Narrow" w:hAnsi="Arial Narrow"/>
          <w:bCs/>
        </w:rPr>
        <w:t>eles escénicos) lo</w:t>
      </w:r>
      <w:r w:rsidRPr="00CE72B9">
        <w:rPr>
          <w:rFonts w:ascii="Arial Narrow" w:hAnsi="Arial Narrow"/>
          <w:bCs/>
        </w:rPr>
        <w:t xml:space="preserve"> llevará al corazón de las cataratas. Tiempo libre para explorar Niágara y ver las cat</w:t>
      </w:r>
      <w:r>
        <w:rPr>
          <w:rFonts w:ascii="Arial Narrow" w:hAnsi="Arial Narrow"/>
          <w:bCs/>
        </w:rPr>
        <w:t xml:space="preserve">aratas iluminadas por la noche. Alojamiento en </w:t>
      </w:r>
      <w:r w:rsidRPr="00CE72B9">
        <w:rPr>
          <w:rFonts w:ascii="Arial Narrow" w:hAnsi="Arial Narrow"/>
          <w:bCs/>
        </w:rPr>
        <w:t>Niágara.</w:t>
      </w:r>
    </w:p>
    <w:p w14:paraId="2AEB1CD9" w14:textId="77777777" w:rsidR="00CE72B9" w:rsidRDefault="00CE72B9" w:rsidP="00CE72B9">
      <w:pPr>
        <w:jc w:val="both"/>
        <w:rPr>
          <w:rFonts w:ascii="Arial Narrow" w:hAnsi="Arial Narrow"/>
          <w:bCs/>
        </w:rPr>
      </w:pPr>
    </w:p>
    <w:p w14:paraId="5D45C369" w14:textId="1CD90724" w:rsidR="00CE72B9" w:rsidRPr="00E5301D" w:rsidRDefault="00CE72B9" w:rsidP="00CE72B9">
      <w:pPr>
        <w:jc w:val="both"/>
        <w:rPr>
          <w:rFonts w:ascii="Arial Narrow" w:hAnsi="Arial Narrow"/>
          <w:b/>
          <w:bCs/>
        </w:rPr>
      </w:pPr>
      <w:r w:rsidRPr="00E5301D">
        <w:rPr>
          <w:rFonts w:ascii="Arial Narrow" w:hAnsi="Arial Narrow"/>
          <w:b/>
          <w:bCs/>
          <w:color w:val="E36C0A" w:themeColor="accent6" w:themeShade="BF"/>
        </w:rPr>
        <w:t>DÍA 3 (MARTES) / NIÁGARA – MIL ISLAS – OTTAWA (577 KM)</w:t>
      </w:r>
    </w:p>
    <w:p w14:paraId="18BE72C6" w14:textId="6DA2EF8B" w:rsidR="00CE72B9" w:rsidRDefault="00CE72B9" w:rsidP="00CE72B9">
      <w:pPr>
        <w:jc w:val="both"/>
        <w:rPr>
          <w:rFonts w:ascii="Arial Narrow" w:hAnsi="Arial Narrow"/>
          <w:bCs/>
        </w:rPr>
      </w:pPr>
      <w:r w:rsidRPr="00CE72B9">
        <w:rPr>
          <w:rFonts w:ascii="Arial Narrow" w:hAnsi="Arial Narrow"/>
          <w:bCs/>
        </w:rPr>
        <w:t>Desayuno en el hotel. El recorrido de nuestro</w:t>
      </w:r>
      <w:r>
        <w:rPr>
          <w:rFonts w:ascii="Arial Narrow" w:hAnsi="Arial Narrow"/>
          <w:bCs/>
        </w:rPr>
        <w:t xml:space="preserve"> tour continúa hacia Mil Islas. </w:t>
      </w:r>
      <w:r w:rsidRPr="00CE72B9">
        <w:rPr>
          <w:rFonts w:ascii="Arial Narrow" w:hAnsi="Arial Narrow"/>
          <w:bCs/>
        </w:rPr>
        <w:t>Crucero por la</w:t>
      </w:r>
      <w:r>
        <w:rPr>
          <w:rFonts w:ascii="Arial Narrow" w:hAnsi="Arial Narrow"/>
          <w:bCs/>
        </w:rPr>
        <w:t>s Islas de una hora donde puede</w:t>
      </w:r>
      <w:r w:rsidRPr="00CE72B9">
        <w:rPr>
          <w:rFonts w:ascii="Arial Narrow" w:hAnsi="Arial Narrow"/>
          <w:bCs/>
        </w:rPr>
        <w:t xml:space="preserve"> apreciar di</w:t>
      </w:r>
      <w:r>
        <w:rPr>
          <w:rFonts w:ascii="Arial Narrow" w:hAnsi="Arial Narrow"/>
          <w:bCs/>
        </w:rPr>
        <w:t>versos paisajes (disponible de mayo a o</w:t>
      </w:r>
      <w:r w:rsidRPr="00CE72B9">
        <w:rPr>
          <w:rFonts w:ascii="Arial Narrow" w:hAnsi="Arial Narrow"/>
          <w:bCs/>
        </w:rPr>
        <w:t>ctubre, fuera de estas fechas, la actividad será reemplazada por el Museo de la civilización en Quebec). Al final del crucero, salida con dirección a Otta</w:t>
      </w:r>
      <w:r>
        <w:rPr>
          <w:rFonts w:ascii="Arial Narrow" w:hAnsi="Arial Narrow"/>
          <w:bCs/>
        </w:rPr>
        <w:t>wa, la capital de Canadá. Podrá</w:t>
      </w:r>
      <w:r w:rsidRPr="00CE72B9">
        <w:rPr>
          <w:rFonts w:ascii="Arial Narrow" w:hAnsi="Arial Narrow"/>
          <w:bCs/>
        </w:rPr>
        <w:t xml:space="preserve"> apreciar el Parlamento de Canadá, la Residencia del Primer Ministro, la Residencia del Gobernador General y otros edificios del Gobierno. Al final del recorrido podrán visitar el Mercado </w:t>
      </w:r>
      <w:proofErr w:type="spellStart"/>
      <w:r w:rsidRPr="00CE72B9">
        <w:rPr>
          <w:rFonts w:ascii="Arial Narrow" w:hAnsi="Arial Narrow"/>
          <w:bCs/>
        </w:rPr>
        <w:t>Byw</w:t>
      </w:r>
      <w:r>
        <w:rPr>
          <w:rFonts w:ascii="Arial Narrow" w:hAnsi="Arial Narrow"/>
          <w:bCs/>
        </w:rPr>
        <w:t>ard</w:t>
      </w:r>
      <w:proofErr w:type="spellEnd"/>
      <w:r>
        <w:rPr>
          <w:rFonts w:ascii="Arial Narrow" w:hAnsi="Arial Narrow"/>
          <w:bCs/>
        </w:rPr>
        <w:t>. Tiempo libre por la noche. Alojamiento en Ottawa.</w:t>
      </w:r>
    </w:p>
    <w:p w14:paraId="3D25CDFF" w14:textId="77777777" w:rsidR="00CE72B9" w:rsidRDefault="00CE72B9" w:rsidP="00CE72B9">
      <w:pPr>
        <w:jc w:val="both"/>
        <w:rPr>
          <w:rFonts w:ascii="Arial Narrow" w:hAnsi="Arial Narrow"/>
          <w:bCs/>
        </w:rPr>
      </w:pPr>
    </w:p>
    <w:p w14:paraId="6E5C7FE2" w14:textId="0336F078" w:rsidR="00CE72B9" w:rsidRPr="00E5301D" w:rsidRDefault="00CE72B9" w:rsidP="00CE72B9">
      <w:pPr>
        <w:jc w:val="both"/>
        <w:rPr>
          <w:rFonts w:ascii="Arial Narrow" w:hAnsi="Arial Narrow"/>
          <w:b/>
          <w:bCs/>
        </w:rPr>
      </w:pPr>
      <w:r w:rsidRPr="00E5301D">
        <w:rPr>
          <w:rFonts w:ascii="Arial Narrow" w:hAnsi="Arial Narrow"/>
          <w:b/>
          <w:bCs/>
          <w:color w:val="E36C0A" w:themeColor="accent6" w:themeShade="BF"/>
        </w:rPr>
        <w:t>DÍA 4 (MIÉRCOLES) / OTTAWA – QUEBEC (440 KM)</w:t>
      </w:r>
    </w:p>
    <w:p w14:paraId="0D7B516F" w14:textId="36E79C23" w:rsidR="00CE72B9" w:rsidRDefault="00CE72B9" w:rsidP="00CE72B9">
      <w:pPr>
        <w:jc w:val="both"/>
        <w:rPr>
          <w:rFonts w:ascii="Arial Narrow" w:hAnsi="Arial Narrow"/>
          <w:bCs/>
        </w:rPr>
      </w:pPr>
      <w:r w:rsidRPr="00CE72B9">
        <w:rPr>
          <w:rFonts w:ascii="Arial Narrow" w:hAnsi="Arial Narrow"/>
          <w:bCs/>
        </w:rPr>
        <w:t xml:space="preserve">Desayuno en el hotel. 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Pr="00CE72B9">
        <w:rPr>
          <w:rFonts w:ascii="Arial Narrow" w:hAnsi="Arial Narrow"/>
          <w:bCs/>
        </w:rPr>
        <w:t>Champlain</w:t>
      </w:r>
      <w:proofErr w:type="spellEnd"/>
      <w:r w:rsidRPr="00CE72B9">
        <w:rPr>
          <w:rFonts w:ascii="Arial Narrow" w:hAnsi="Arial Narrow"/>
          <w:bCs/>
        </w:rPr>
        <w:t xml:space="preserve">, el Parlamento de Quebec, la Terraza </w:t>
      </w:r>
      <w:proofErr w:type="spellStart"/>
      <w:r w:rsidRPr="00CE72B9">
        <w:rPr>
          <w:rFonts w:ascii="Arial Narrow" w:hAnsi="Arial Narrow"/>
          <w:bCs/>
        </w:rPr>
        <w:t>Dufferin</w:t>
      </w:r>
      <w:proofErr w:type="spellEnd"/>
      <w:r w:rsidRPr="00CE72B9">
        <w:rPr>
          <w:rFonts w:ascii="Arial Narrow" w:hAnsi="Arial Narrow"/>
          <w:bCs/>
        </w:rPr>
        <w:t xml:space="preserve">, el Castillo </w:t>
      </w:r>
      <w:proofErr w:type="spellStart"/>
      <w:r w:rsidRPr="00CE72B9">
        <w:rPr>
          <w:rFonts w:ascii="Arial Narrow" w:hAnsi="Arial Narrow"/>
          <w:bCs/>
        </w:rPr>
        <w:t>Frontenac</w:t>
      </w:r>
      <w:proofErr w:type="spellEnd"/>
      <w:r w:rsidRPr="00CE72B9">
        <w:rPr>
          <w:rFonts w:ascii="Arial Narrow" w:hAnsi="Arial Narrow"/>
          <w:bCs/>
        </w:rPr>
        <w:t>, las calles Saint-Jean y Grande-</w:t>
      </w:r>
      <w:proofErr w:type="spellStart"/>
      <w:r w:rsidRPr="00CE72B9">
        <w:rPr>
          <w:rFonts w:ascii="Arial Narrow" w:hAnsi="Arial Narrow"/>
          <w:bCs/>
        </w:rPr>
        <w:t>Allée</w:t>
      </w:r>
      <w:proofErr w:type="spellEnd"/>
      <w:r w:rsidRPr="00CE72B9">
        <w:rPr>
          <w:rFonts w:ascii="Arial Narrow" w:hAnsi="Arial Narrow"/>
          <w:bCs/>
        </w:rPr>
        <w:t xml:space="preserve"> y el Viejo Pue</w:t>
      </w:r>
      <w:r>
        <w:rPr>
          <w:rFonts w:ascii="Arial Narrow" w:hAnsi="Arial Narrow"/>
          <w:bCs/>
        </w:rPr>
        <w:t xml:space="preserve">rto. Tiempo libre por la noche. </w:t>
      </w:r>
      <w:r w:rsidRPr="00CE72B9">
        <w:rPr>
          <w:rFonts w:ascii="Arial Narrow" w:hAnsi="Arial Narrow"/>
          <w:bCs/>
        </w:rPr>
        <w:t>Alojamiento en Quebec.</w:t>
      </w:r>
    </w:p>
    <w:p w14:paraId="4EEFCB1E" w14:textId="77777777" w:rsidR="00CE72B9" w:rsidRDefault="00CE72B9" w:rsidP="00CE72B9">
      <w:pPr>
        <w:jc w:val="both"/>
        <w:rPr>
          <w:rFonts w:ascii="Arial Narrow" w:hAnsi="Arial Narrow"/>
          <w:bCs/>
        </w:rPr>
      </w:pPr>
    </w:p>
    <w:p w14:paraId="6E5DB4BE" w14:textId="13DA0BFC" w:rsidR="00CE72B9" w:rsidRPr="00E5301D" w:rsidRDefault="00CE72B9" w:rsidP="00CE72B9">
      <w:pPr>
        <w:jc w:val="both"/>
        <w:rPr>
          <w:rFonts w:ascii="Arial Narrow" w:hAnsi="Arial Narrow"/>
          <w:b/>
          <w:bCs/>
        </w:rPr>
      </w:pPr>
      <w:r w:rsidRPr="00E5301D">
        <w:rPr>
          <w:rFonts w:ascii="Arial Narrow" w:hAnsi="Arial Narrow"/>
          <w:b/>
          <w:bCs/>
          <w:color w:val="E36C0A" w:themeColor="accent6" w:themeShade="BF"/>
        </w:rPr>
        <w:t>DÍA 5 (JUEVES) / QUEBEC</w:t>
      </w:r>
    </w:p>
    <w:p w14:paraId="2F0A8502" w14:textId="4AB1F1B0" w:rsidR="00CE72B9" w:rsidRDefault="00CE72B9" w:rsidP="00CE72B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en el hotel. Día a su disposición para actividades personales. Alojamiento en Quebec.</w:t>
      </w:r>
    </w:p>
    <w:p w14:paraId="2791D47D" w14:textId="77777777" w:rsidR="00CE72B9" w:rsidRDefault="00CE72B9" w:rsidP="00CE72B9">
      <w:pPr>
        <w:jc w:val="both"/>
        <w:rPr>
          <w:rFonts w:ascii="Arial Narrow" w:hAnsi="Arial Narrow"/>
          <w:bCs/>
        </w:rPr>
      </w:pPr>
    </w:p>
    <w:p w14:paraId="20919A4D" w14:textId="33E87BB1" w:rsidR="00CE72B9" w:rsidRPr="00E5301D" w:rsidRDefault="00CE72B9" w:rsidP="00CE72B9">
      <w:pPr>
        <w:jc w:val="both"/>
        <w:rPr>
          <w:rFonts w:ascii="Arial Narrow" w:hAnsi="Arial Narrow"/>
          <w:b/>
          <w:bCs/>
        </w:rPr>
      </w:pPr>
      <w:r w:rsidRPr="00E5301D">
        <w:rPr>
          <w:rFonts w:ascii="Arial Narrow" w:hAnsi="Arial Narrow"/>
          <w:b/>
          <w:bCs/>
          <w:color w:val="E36C0A" w:themeColor="accent6" w:themeShade="BF"/>
        </w:rPr>
        <w:t>DÍA 6 (VIERNES) / QUEBEC – MONTREAL</w:t>
      </w:r>
    </w:p>
    <w:p w14:paraId="1D167F30" w14:textId="64148B9F" w:rsidR="00E5301D" w:rsidRDefault="00CE72B9" w:rsidP="00CE72B9">
      <w:pPr>
        <w:jc w:val="both"/>
        <w:rPr>
          <w:rFonts w:ascii="Arial Narrow" w:hAnsi="Arial Narrow"/>
          <w:bCs/>
        </w:rPr>
      </w:pPr>
      <w:r w:rsidRPr="00CE72B9">
        <w:rPr>
          <w:rFonts w:ascii="Arial Narrow" w:hAnsi="Arial Narrow"/>
          <w:bCs/>
        </w:rPr>
        <w:t>Desayuno en el hotel. Salida hacia Montreal, la segunda ciudad francófona después de París. Llegada a Montreal. Visita de la ciudad de Montreal pasando por el</w:t>
      </w:r>
      <w:r w:rsidR="00E5301D">
        <w:rPr>
          <w:rFonts w:ascii="Arial Narrow" w:hAnsi="Arial Narrow"/>
          <w:bCs/>
        </w:rPr>
        <w:t xml:space="preserve"> barrio histórico llamado </w:t>
      </w:r>
      <w:proofErr w:type="spellStart"/>
      <w:r w:rsidR="00E5301D">
        <w:rPr>
          <w:rFonts w:ascii="Arial Narrow" w:hAnsi="Arial Narrow"/>
          <w:bCs/>
        </w:rPr>
        <w:t>Vieux</w:t>
      </w:r>
      <w:proofErr w:type="spellEnd"/>
      <w:r w:rsidR="00E5301D">
        <w:rPr>
          <w:rFonts w:ascii="Arial Narrow" w:hAnsi="Arial Narrow"/>
          <w:bCs/>
        </w:rPr>
        <w:t>-</w:t>
      </w:r>
      <w:r w:rsidRPr="00CE72B9">
        <w:rPr>
          <w:rFonts w:ascii="Arial Narrow" w:hAnsi="Arial Narrow"/>
          <w:bCs/>
        </w:rPr>
        <w:t xml:space="preserve">Montreal, la basílica </w:t>
      </w:r>
      <w:proofErr w:type="spellStart"/>
      <w:r w:rsidRPr="00CE72B9">
        <w:rPr>
          <w:rFonts w:ascii="Arial Narrow" w:hAnsi="Arial Narrow"/>
          <w:bCs/>
        </w:rPr>
        <w:t>Notre</w:t>
      </w:r>
      <w:proofErr w:type="spellEnd"/>
      <w:r w:rsidRPr="00CE72B9">
        <w:rPr>
          <w:rFonts w:ascii="Arial Narrow" w:hAnsi="Arial Narrow"/>
          <w:bCs/>
        </w:rPr>
        <w:t xml:space="preserve">-Dame (entrada no incluida), el parque del Mont-Royal, la red subterránea </w:t>
      </w:r>
    </w:p>
    <w:p w14:paraId="1C1E061C" w14:textId="033D396B" w:rsidR="00E5301D" w:rsidRDefault="00CE72B9" w:rsidP="00CE72B9">
      <w:pPr>
        <w:jc w:val="both"/>
        <w:rPr>
          <w:rFonts w:ascii="Arial Narrow" w:hAnsi="Arial Narrow"/>
          <w:bCs/>
        </w:rPr>
      </w:pPr>
      <w:r w:rsidRPr="00CE72B9">
        <w:rPr>
          <w:rFonts w:ascii="Arial Narrow" w:hAnsi="Arial Narrow"/>
          <w:bCs/>
        </w:rPr>
        <w:t>de túneles y galerías que unen más de 2</w:t>
      </w:r>
      <w:r w:rsidR="00E5301D">
        <w:rPr>
          <w:rFonts w:ascii="Arial Narrow" w:hAnsi="Arial Narrow"/>
          <w:bCs/>
        </w:rPr>
        <w:t>,</w:t>
      </w:r>
      <w:r w:rsidRPr="00CE72B9">
        <w:rPr>
          <w:rFonts w:ascii="Arial Narrow" w:hAnsi="Arial Narrow"/>
          <w:bCs/>
        </w:rPr>
        <w:t>000 tiendas, restaurantes, museos, universidades y ed</w:t>
      </w:r>
      <w:r w:rsidR="00E5301D">
        <w:rPr>
          <w:rFonts w:ascii="Arial Narrow" w:hAnsi="Arial Narrow"/>
          <w:bCs/>
        </w:rPr>
        <w:t xml:space="preserve">ificios del centro de la ciudad. </w:t>
      </w:r>
      <w:r w:rsidRPr="00CE72B9">
        <w:rPr>
          <w:rFonts w:ascii="Arial Narrow" w:hAnsi="Arial Narrow"/>
          <w:bCs/>
        </w:rPr>
        <w:t>Alojamiento en Montreal.</w:t>
      </w:r>
    </w:p>
    <w:p w14:paraId="46DD1825" w14:textId="2638E275" w:rsidR="00E5301D" w:rsidRPr="00E5301D" w:rsidRDefault="00E5301D" w:rsidP="00CE72B9">
      <w:pPr>
        <w:jc w:val="both"/>
        <w:rPr>
          <w:rFonts w:ascii="Arial Narrow" w:hAnsi="Arial Narrow"/>
          <w:b/>
          <w:bCs/>
        </w:rPr>
      </w:pPr>
      <w:r w:rsidRPr="00E5301D">
        <w:rPr>
          <w:rFonts w:ascii="Arial Narrow" w:hAnsi="Arial Narrow"/>
          <w:b/>
          <w:bCs/>
          <w:color w:val="E36C0A" w:themeColor="accent6" w:themeShade="BF"/>
        </w:rPr>
        <w:lastRenderedPageBreak/>
        <w:t>DÍA 7 (SÁBADO) / MONTREAL – CIUDAD DE ORIGEN</w:t>
      </w:r>
    </w:p>
    <w:p w14:paraId="11700C2E" w14:textId="1113D4F2" w:rsidR="00E5301D" w:rsidRDefault="00E5301D" w:rsidP="00CE72B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en el hotel. A la hora indicada, traslado al aeropuerto para tomar un vuelo de regreso a casa. Fin de nuestros servicios.</w:t>
      </w:r>
    </w:p>
    <w:p w14:paraId="605015CA" w14:textId="77777777" w:rsidR="00CE72B9" w:rsidRPr="003D669B" w:rsidRDefault="00CE72B9" w:rsidP="00CE72B9">
      <w:pPr>
        <w:jc w:val="both"/>
        <w:rPr>
          <w:rFonts w:ascii="Arial Narrow" w:hAnsi="Arial Narrow"/>
          <w:bCs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1D6ABE0" w14:textId="6C9F0427" w:rsidR="002847D5" w:rsidRDefault="00D107E9" w:rsidP="002847D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Domingos, del 11 de mayo al 09 de noviembre del 2025</w:t>
      </w:r>
    </w:p>
    <w:p w14:paraId="2B6F31EC" w14:textId="77777777" w:rsidR="00D107E9" w:rsidRPr="002847D5" w:rsidRDefault="00D107E9" w:rsidP="002847D5">
      <w:pPr>
        <w:jc w:val="both"/>
        <w:rPr>
          <w:rFonts w:ascii="Arial Narrow" w:hAnsi="Arial Narrow"/>
          <w:bCs/>
        </w:rPr>
      </w:pPr>
    </w:p>
    <w:p w14:paraId="5168F3C7" w14:textId="1FB8B676" w:rsidR="00E00187" w:rsidRDefault="00802C5F" w:rsidP="00D01726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</w:t>
      </w:r>
      <w:r w:rsidR="00BB7C31">
        <w:rPr>
          <w:rFonts w:ascii="Arial Narrow" w:hAnsi="Arial Narrow"/>
          <w:b/>
          <w:bCs/>
          <w:color w:val="E36C0A" w:themeColor="accent6" w:themeShade="BF"/>
        </w:rPr>
        <w:t>RS</w:t>
      </w:r>
      <w:r w:rsidR="008F3D22">
        <w:rPr>
          <w:rFonts w:ascii="Arial Narrow" w:hAnsi="Arial Narrow"/>
          <w:b/>
          <w:bCs/>
          <w:color w:val="E36C0A" w:themeColor="accent6" w:themeShade="BF"/>
        </w:rPr>
        <w:t>ONA EN DÓLARES CANADIENSES (CAD)</w:t>
      </w:r>
    </w:p>
    <w:tbl>
      <w:tblPr>
        <w:tblStyle w:val="Tablaconcuadrcula"/>
        <w:tblW w:w="0" w:type="auto"/>
        <w:tblInd w:w="1377" w:type="dxa"/>
        <w:tblLook w:val="04A0" w:firstRow="1" w:lastRow="0" w:firstColumn="1" w:lastColumn="0" w:noHBand="0" w:noVBand="1"/>
      </w:tblPr>
      <w:tblGrid>
        <w:gridCol w:w="1569"/>
        <w:gridCol w:w="1550"/>
        <w:gridCol w:w="1417"/>
        <w:gridCol w:w="1560"/>
      </w:tblGrid>
      <w:tr w:rsidR="008F3D22" w:rsidRPr="00C760DB" w14:paraId="32AF28D5" w14:textId="77777777" w:rsidTr="005F1D42">
        <w:tc>
          <w:tcPr>
            <w:tcW w:w="1569" w:type="dxa"/>
          </w:tcPr>
          <w:p w14:paraId="204E505B" w14:textId="77777777" w:rsidR="008F3D22" w:rsidRPr="00C760DB" w:rsidRDefault="008F3D22" w:rsidP="005F1D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1550" w:type="dxa"/>
          </w:tcPr>
          <w:p w14:paraId="776D82E4" w14:textId="77777777" w:rsidR="008F3D22" w:rsidRPr="00C760DB" w:rsidRDefault="008F3D22" w:rsidP="005F1D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TPL</w:t>
            </w:r>
          </w:p>
        </w:tc>
        <w:tc>
          <w:tcPr>
            <w:tcW w:w="1417" w:type="dxa"/>
          </w:tcPr>
          <w:p w14:paraId="3F43667E" w14:textId="77777777" w:rsidR="008F3D22" w:rsidRPr="00C760DB" w:rsidRDefault="008F3D22" w:rsidP="005F1D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CPL</w:t>
            </w:r>
          </w:p>
        </w:tc>
        <w:tc>
          <w:tcPr>
            <w:tcW w:w="1560" w:type="dxa"/>
          </w:tcPr>
          <w:p w14:paraId="17BFC32C" w14:textId="77777777" w:rsidR="008F3D22" w:rsidRPr="00C760DB" w:rsidRDefault="008F3D22" w:rsidP="005F1D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0DB"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8F3D22" w14:paraId="52F5BB4B" w14:textId="77777777" w:rsidTr="005F1D42">
        <w:tc>
          <w:tcPr>
            <w:tcW w:w="1569" w:type="dxa"/>
          </w:tcPr>
          <w:p w14:paraId="04BE2F8D" w14:textId="13DA7417" w:rsidR="008F3D22" w:rsidRDefault="003D669B" w:rsidP="005F1D4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DE46F8">
              <w:rPr>
                <w:rFonts w:ascii="Arial Narrow" w:hAnsi="Arial Narrow"/>
                <w:bCs/>
              </w:rPr>
              <w:t>2,400</w:t>
            </w:r>
          </w:p>
        </w:tc>
        <w:tc>
          <w:tcPr>
            <w:tcW w:w="1550" w:type="dxa"/>
          </w:tcPr>
          <w:p w14:paraId="0F32E23B" w14:textId="1882D4B8" w:rsidR="008F3D22" w:rsidRDefault="003D669B" w:rsidP="005F1D4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8F3D22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8F3D22">
              <w:rPr>
                <w:rFonts w:ascii="Arial Narrow" w:hAnsi="Arial Narrow"/>
                <w:bCs/>
              </w:rPr>
              <w:t>300</w:t>
            </w:r>
          </w:p>
        </w:tc>
        <w:tc>
          <w:tcPr>
            <w:tcW w:w="1417" w:type="dxa"/>
          </w:tcPr>
          <w:p w14:paraId="2E1DB924" w14:textId="777FD93F" w:rsidR="008F3D22" w:rsidRDefault="003D669B" w:rsidP="005F1D4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8F3D22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8F3D22">
              <w:rPr>
                <w:rFonts w:ascii="Arial Narrow" w:hAnsi="Arial Narrow"/>
                <w:bCs/>
              </w:rPr>
              <w:t>155</w:t>
            </w:r>
          </w:p>
        </w:tc>
        <w:tc>
          <w:tcPr>
            <w:tcW w:w="1560" w:type="dxa"/>
          </w:tcPr>
          <w:p w14:paraId="45546D66" w14:textId="641537CA" w:rsidR="008F3D22" w:rsidRDefault="003D669B" w:rsidP="005F1D4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$ 3,320</w:t>
            </w:r>
          </w:p>
        </w:tc>
      </w:tr>
    </w:tbl>
    <w:p w14:paraId="0C3C9FD1" w14:textId="77777777" w:rsidR="008F3D22" w:rsidRPr="00153789" w:rsidRDefault="008F3D22" w:rsidP="00D01726">
      <w:pPr>
        <w:jc w:val="center"/>
        <w:rPr>
          <w:rFonts w:ascii="Arial Narrow" w:hAnsi="Arial Narrow"/>
        </w:rPr>
      </w:pPr>
    </w:p>
    <w:p w14:paraId="16F25290" w14:textId="77777777" w:rsidR="00EC4EF7" w:rsidRPr="00421ADD" w:rsidRDefault="00EC4EF7" w:rsidP="00421ADD">
      <w:pPr>
        <w:jc w:val="center"/>
        <w:rPr>
          <w:rFonts w:ascii="Arial Narrow" w:hAnsi="Arial Narrow"/>
          <w:bCs/>
        </w:rPr>
      </w:pPr>
    </w:p>
    <w:p w14:paraId="5303A8AA" w14:textId="38DF20B7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72DC4283" w14:textId="2C8D77F2" w:rsidR="00557C1B" w:rsidRPr="00557C1B" w:rsidRDefault="00557C1B" w:rsidP="009166F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 w:rsidRPr="00557C1B">
        <w:rPr>
          <w:rFonts w:ascii="Arial Narrow" w:hAnsi="Arial Narrow"/>
          <w:bCs/>
        </w:rPr>
        <w:t>6 noches de alojamiento en hoteles de categoría turista</w:t>
      </w:r>
      <w:r w:rsidR="00121C0C">
        <w:rPr>
          <w:rFonts w:ascii="Arial Narrow" w:hAnsi="Arial Narrow"/>
          <w:bCs/>
        </w:rPr>
        <w:t xml:space="preserve"> (descentrados)</w:t>
      </w:r>
    </w:p>
    <w:p w14:paraId="3A91E8B3" w14:textId="77777777" w:rsidR="00557C1B" w:rsidRDefault="00557C1B" w:rsidP="009166F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6 desayunos continentales</w:t>
      </w:r>
    </w:p>
    <w:p w14:paraId="3EE0A6C7" w14:textId="5964D423" w:rsidR="00C74344" w:rsidRDefault="00C74344" w:rsidP="009166F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Traslados de llegada y salida</w:t>
      </w:r>
    </w:p>
    <w:p w14:paraId="3B3EC4E3" w14:textId="772C0729" w:rsidR="00557C1B" w:rsidRDefault="00557C1B" w:rsidP="009166F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 w:rsidRPr="00557C1B">
        <w:rPr>
          <w:rFonts w:ascii="Arial Narrow" w:hAnsi="Arial Narrow"/>
          <w:bCs/>
        </w:rPr>
        <w:t>Transporte en b</w:t>
      </w:r>
      <w:r>
        <w:rPr>
          <w:rFonts w:ascii="Arial Narrow" w:hAnsi="Arial Narrow"/>
          <w:bCs/>
        </w:rPr>
        <w:t xml:space="preserve">us de alta comodidad o mini-bus, </w:t>
      </w:r>
      <w:r w:rsidRPr="00557C1B">
        <w:rPr>
          <w:rFonts w:ascii="Arial Narrow" w:hAnsi="Arial Narrow"/>
          <w:bCs/>
        </w:rPr>
        <w:t>dependiendo del número de pasaj</w:t>
      </w:r>
      <w:r w:rsidR="00121C0C">
        <w:rPr>
          <w:rFonts w:ascii="Arial Narrow" w:hAnsi="Arial Narrow"/>
          <w:bCs/>
        </w:rPr>
        <w:t>eros</w:t>
      </w:r>
    </w:p>
    <w:p w14:paraId="726D5E61" w14:textId="77777777" w:rsidR="00557C1B" w:rsidRDefault="00557C1B" w:rsidP="009166F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 w:rsidRPr="00557C1B">
        <w:rPr>
          <w:rFonts w:ascii="Arial Narrow" w:hAnsi="Arial Narrow"/>
          <w:bCs/>
        </w:rPr>
        <w:t>Guía acompañante de habla hi</w:t>
      </w:r>
      <w:r>
        <w:rPr>
          <w:rFonts w:ascii="Arial Narrow" w:hAnsi="Arial Narrow"/>
          <w:bCs/>
        </w:rPr>
        <w:t>spana durante todo el recorrido</w:t>
      </w:r>
    </w:p>
    <w:p w14:paraId="50B16B00" w14:textId="77777777" w:rsidR="00557C1B" w:rsidRDefault="00557C1B" w:rsidP="009166F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 w:rsidRPr="00557C1B">
        <w:rPr>
          <w:rFonts w:ascii="Arial Narrow" w:hAnsi="Arial Narrow"/>
          <w:bCs/>
        </w:rPr>
        <w:t>Las visitas de Toronto, Niágara, Ottawa, Quebec y Montreal comentadas por su guía acompañante o</w:t>
      </w:r>
      <w:r>
        <w:rPr>
          <w:rFonts w:ascii="Arial Narrow" w:hAnsi="Arial Narrow"/>
          <w:bCs/>
        </w:rPr>
        <w:t xml:space="preserve"> por un guía local.</w:t>
      </w:r>
    </w:p>
    <w:p w14:paraId="5265EA2B" w14:textId="77777777" w:rsidR="00557C1B" w:rsidRDefault="00557C1B" w:rsidP="009166F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 w:rsidRPr="00557C1B">
        <w:rPr>
          <w:rFonts w:ascii="Arial Narrow" w:hAnsi="Arial Narrow"/>
          <w:bCs/>
        </w:rPr>
        <w:t>Todas las visit</w:t>
      </w:r>
      <w:r>
        <w:rPr>
          <w:rFonts w:ascii="Arial Narrow" w:hAnsi="Arial Narrow"/>
          <w:bCs/>
        </w:rPr>
        <w:t xml:space="preserve">as mencionadas en el itinerario, </w:t>
      </w:r>
      <w:r w:rsidRPr="00557C1B">
        <w:rPr>
          <w:rFonts w:ascii="Arial Narrow" w:hAnsi="Arial Narrow"/>
          <w:bCs/>
        </w:rPr>
        <w:t xml:space="preserve">salvo cuando se mencionan como </w:t>
      </w:r>
      <w:r>
        <w:rPr>
          <w:rFonts w:ascii="Arial Narrow" w:hAnsi="Arial Narrow"/>
          <w:bCs/>
        </w:rPr>
        <w:t>visitas opcionales</w:t>
      </w:r>
    </w:p>
    <w:p w14:paraId="3BFB4E97" w14:textId="77777777" w:rsidR="00557C1B" w:rsidRDefault="00557C1B" w:rsidP="009166F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Excursión en barco “</w:t>
      </w:r>
      <w:proofErr w:type="spellStart"/>
      <w:r>
        <w:rPr>
          <w:rFonts w:ascii="Arial Narrow" w:hAnsi="Arial Narrow"/>
          <w:bCs/>
        </w:rPr>
        <w:t>Voyage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to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the</w:t>
      </w:r>
      <w:proofErr w:type="spellEnd"/>
      <w:r>
        <w:rPr>
          <w:rFonts w:ascii="Arial Narrow" w:hAnsi="Arial Narrow"/>
          <w:bCs/>
        </w:rPr>
        <w:t xml:space="preserve"> Falls”</w:t>
      </w:r>
      <w:r w:rsidRPr="00557C1B">
        <w:rPr>
          <w:rFonts w:ascii="Arial Narrow" w:hAnsi="Arial Narrow"/>
          <w:bCs/>
        </w:rPr>
        <w:t xml:space="preserve"> o los túneles escénicos del</w:t>
      </w:r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Journey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behind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the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falls</w:t>
      </w:r>
      <w:proofErr w:type="spellEnd"/>
    </w:p>
    <w:p w14:paraId="6B7B6CF2" w14:textId="77777777" w:rsidR="00557C1B" w:rsidRDefault="00557C1B" w:rsidP="009166F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557C1B">
        <w:rPr>
          <w:rFonts w:ascii="Arial Narrow" w:hAnsi="Arial Narrow"/>
          <w:bCs/>
        </w:rPr>
        <w:t>rucero por</w:t>
      </w:r>
      <w:r>
        <w:rPr>
          <w:rFonts w:ascii="Arial Narrow" w:hAnsi="Arial Narrow"/>
          <w:bCs/>
        </w:rPr>
        <w:t xml:space="preserve"> las Mil Islas</w:t>
      </w:r>
    </w:p>
    <w:p w14:paraId="0DB5F1E9" w14:textId="1EB9AA67" w:rsidR="002847D5" w:rsidRDefault="00557C1B" w:rsidP="009166F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Cs/>
        </w:rPr>
      </w:pPr>
      <w:r w:rsidRPr="00557C1B">
        <w:rPr>
          <w:rFonts w:ascii="Arial Narrow" w:hAnsi="Arial Narrow"/>
          <w:bCs/>
        </w:rPr>
        <w:t>Todos los impuestos aplicable</w:t>
      </w:r>
      <w:r>
        <w:rPr>
          <w:rFonts w:ascii="Arial Narrow" w:hAnsi="Arial Narrow"/>
          <w:bCs/>
        </w:rPr>
        <w:t>s</w:t>
      </w:r>
    </w:p>
    <w:p w14:paraId="53CAFFA4" w14:textId="77777777" w:rsidR="00557C1B" w:rsidRPr="00557C1B" w:rsidRDefault="00557C1B" w:rsidP="00557C1B">
      <w:pPr>
        <w:pStyle w:val="Prrafodelista"/>
        <w:jc w:val="both"/>
        <w:rPr>
          <w:rFonts w:ascii="Arial Narrow" w:hAnsi="Arial Narrow"/>
          <w:bCs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0EA4CD6A" w14:textId="0C820753" w:rsidR="002847D5" w:rsidRPr="00C74344" w:rsidRDefault="00557C1B" w:rsidP="009166FB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 w:rsidRPr="00C74344">
        <w:rPr>
          <w:rFonts w:ascii="Arial Narrow" w:hAnsi="Arial Narrow"/>
          <w:bCs/>
        </w:rPr>
        <w:t>Propina para guía, chofer, etc.</w:t>
      </w:r>
    </w:p>
    <w:p w14:paraId="735FBE0F" w14:textId="6712BF71" w:rsidR="00557C1B" w:rsidRPr="00C74344" w:rsidRDefault="00557C1B" w:rsidP="009166FB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 w:rsidRPr="00C74344">
        <w:rPr>
          <w:rFonts w:ascii="Arial Narrow" w:hAnsi="Arial Narrow"/>
          <w:bCs/>
        </w:rPr>
        <w:t>Gastos de índole personal</w:t>
      </w:r>
    </w:p>
    <w:p w14:paraId="554732C8" w14:textId="734DE623" w:rsidR="00557C1B" w:rsidRDefault="00557C1B" w:rsidP="009166FB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 w:rsidRPr="00C74344">
        <w:rPr>
          <w:rFonts w:ascii="Arial Narrow" w:hAnsi="Arial Narrow"/>
          <w:bCs/>
        </w:rPr>
        <w:t>Seguro de viaje</w:t>
      </w:r>
    </w:p>
    <w:p w14:paraId="116E1229" w14:textId="26DF0254" w:rsidR="00EB67AA" w:rsidRDefault="00EB67AA" w:rsidP="009166FB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Excursiones y/o visitas opcionales</w:t>
      </w:r>
    </w:p>
    <w:p w14:paraId="6F1BA395" w14:textId="790F6B0C" w:rsidR="00121C0C" w:rsidRPr="00C74344" w:rsidRDefault="00121C0C" w:rsidP="009166FB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Vuelos internacionales</w:t>
      </w:r>
    </w:p>
    <w:p w14:paraId="0E82B05F" w14:textId="6F619F5A" w:rsidR="00557C1B" w:rsidRPr="00C74344" w:rsidRDefault="00557C1B" w:rsidP="009166FB">
      <w:pPr>
        <w:pStyle w:val="Prrafodelista"/>
        <w:numPr>
          <w:ilvl w:val="0"/>
          <w:numId w:val="2"/>
        </w:numPr>
        <w:rPr>
          <w:rFonts w:ascii="Arial Narrow" w:hAnsi="Arial Narrow"/>
          <w:bCs/>
        </w:rPr>
      </w:pPr>
      <w:r w:rsidRPr="00C74344">
        <w:rPr>
          <w:rFonts w:ascii="Arial Narrow" w:hAnsi="Arial Narrow"/>
          <w:bCs/>
        </w:rPr>
        <w:t>Lo no especificado en el apartado del precio incluye</w:t>
      </w:r>
    </w:p>
    <w:p w14:paraId="0F2B2680" w14:textId="77777777" w:rsidR="00557C1B" w:rsidRPr="00AD456D" w:rsidRDefault="00557C1B" w:rsidP="00BC5D49">
      <w:pPr>
        <w:rPr>
          <w:rFonts w:ascii="Arial Narrow" w:hAnsi="Arial Narrow"/>
          <w:bCs/>
        </w:rPr>
      </w:pPr>
    </w:p>
    <w:p w14:paraId="6D411790" w14:textId="77777777" w:rsidR="00E5301D" w:rsidRDefault="00E5301D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13ADDB85" w14:textId="77777777" w:rsidR="00E5301D" w:rsidRDefault="00E5301D" w:rsidP="00EB67AA">
      <w:pPr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794638AD" w:rsidR="002C5099" w:rsidRDefault="00F01A86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  <w:bookmarkStart w:id="0" w:name="_Hlk177976481"/>
    </w:p>
    <w:tbl>
      <w:tblPr>
        <w:tblStyle w:val="Tablaconcuadrcula"/>
        <w:tblW w:w="0" w:type="auto"/>
        <w:tblInd w:w="770" w:type="dxa"/>
        <w:tblLook w:val="04A0" w:firstRow="1" w:lastRow="0" w:firstColumn="1" w:lastColumn="0" w:noHBand="0" w:noVBand="1"/>
      </w:tblPr>
      <w:tblGrid>
        <w:gridCol w:w="1748"/>
        <w:gridCol w:w="4253"/>
        <w:gridCol w:w="1308"/>
      </w:tblGrid>
      <w:tr w:rsidR="000D79E4" w14:paraId="17214CE7" w14:textId="77777777" w:rsidTr="002847D5">
        <w:tc>
          <w:tcPr>
            <w:tcW w:w="1748" w:type="dxa"/>
          </w:tcPr>
          <w:p w14:paraId="15FB81D1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4253" w:type="dxa"/>
          </w:tcPr>
          <w:p w14:paraId="6CAFEBFD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 xml:space="preserve">Hotel </w:t>
            </w:r>
          </w:p>
        </w:tc>
        <w:tc>
          <w:tcPr>
            <w:tcW w:w="1308" w:type="dxa"/>
          </w:tcPr>
          <w:p w14:paraId="33FD4A8A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0D79E4" w:rsidRPr="00DD4CC9" w14:paraId="74AD2FB9" w14:textId="77777777" w:rsidTr="002847D5">
        <w:tc>
          <w:tcPr>
            <w:tcW w:w="1748" w:type="dxa"/>
          </w:tcPr>
          <w:p w14:paraId="738FF94E" w14:textId="6A417B00" w:rsidR="005D4CBE" w:rsidRDefault="00121C0C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Toronto</w:t>
            </w:r>
          </w:p>
        </w:tc>
        <w:tc>
          <w:tcPr>
            <w:tcW w:w="4253" w:type="dxa"/>
            <w:vAlign w:val="center"/>
          </w:tcPr>
          <w:p w14:paraId="693046DD" w14:textId="0C4A56E5" w:rsidR="00886347" w:rsidRPr="009444F3" w:rsidRDefault="00121C0C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Holiday </w:t>
            </w:r>
            <w:proofErr w:type="spellStart"/>
            <w:r>
              <w:rPr>
                <w:rFonts w:ascii="Arial Narrow" w:hAnsi="Arial Narrow"/>
              </w:rPr>
              <w:t>Inn</w:t>
            </w:r>
            <w:proofErr w:type="spellEnd"/>
            <w:r>
              <w:rPr>
                <w:rFonts w:ascii="Arial Narrow" w:hAnsi="Arial Narrow"/>
              </w:rPr>
              <w:t xml:space="preserve"> North York</w:t>
            </w:r>
          </w:p>
        </w:tc>
        <w:tc>
          <w:tcPr>
            <w:tcW w:w="1308" w:type="dxa"/>
          </w:tcPr>
          <w:p w14:paraId="5BDCBEB8" w14:textId="26B1772D" w:rsidR="009D757A" w:rsidRPr="00B25E71" w:rsidRDefault="00121C0C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2861F468" w14:textId="77777777" w:rsidTr="002847D5">
        <w:tc>
          <w:tcPr>
            <w:tcW w:w="1748" w:type="dxa"/>
          </w:tcPr>
          <w:p w14:paraId="330CC73E" w14:textId="6807761A" w:rsidR="007D455B" w:rsidRDefault="00121C0C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Niágara</w:t>
            </w:r>
          </w:p>
        </w:tc>
        <w:tc>
          <w:tcPr>
            <w:tcW w:w="4253" w:type="dxa"/>
            <w:vAlign w:val="center"/>
          </w:tcPr>
          <w:p w14:paraId="342CC59A" w14:textId="569D2AD2" w:rsidR="00EE45E6" w:rsidRDefault="00121C0C" w:rsidP="00121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Wyndham Garden Niagara Falls</w:t>
            </w:r>
          </w:p>
        </w:tc>
        <w:tc>
          <w:tcPr>
            <w:tcW w:w="1308" w:type="dxa"/>
            <w:vAlign w:val="center"/>
          </w:tcPr>
          <w:p w14:paraId="4AE4035D" w14:textId="6C8355E2" w:rsidR="000F6F81" w:rsidRDefault="00121C0C" w:rsidP="00121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00F41617" w14:textId="77777777" w:rsidTr="002847D5">
        <w:tc>
          <w:tcPr>
            <w:tcW w:w="1748" w:type="dxa"/>
          </w:tcPr>
          <w:p w14:paraId="50EA09A7" w14:textId="137B5202" w:rsidR="005D4CBE" w:rsidRDefault="00121C0C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Ottawa</w:t>
            </w:r>
          </w:p>
        </w:tc>
        <w:tc>
          <w:tcPr>
            <w:tcW w:w="4253" w:type="dxa"/>
            <w:vAlign w:val="center"/>
          </w:tcPr>
          <w:p w14:paraId="1723686F" w14:textId="4F686B75" w:rsidR="00DB4681" w:rsidRDefault="00121C0C" w:rsidP="00121C0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Quality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Inn</w:t>
            </w:r>
            <w:proofErr w:type="spellEnd"/>
            <w:r>
              <w:rPr>
                <w:rFonts w:ascii="Arial Narrow" w:hAnsi="Arial Narrow"/>
              </w:rPr>
              <w:t xml:space="preserve"> &amp; Suites Gatineau</w:t>
            </w:r>
          </w:p>
        </w:tc>
        <w:tc>
          <w:tcPr>
            <w:tcW w:w="1308" w:type="dxa"/>
            <w:vAlign w:val="center"/>
          </w:tcPr>
          <w:p w14:paraId="0CC6780E" w14:textId="3C40436D" w:rsidR="009D757A" w:rsidRPr="00CD081B" w:rsidRDefault="00121C0C" w:rsidP="00121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6797AAED" w14:textId="77777777" w:rsidTr="002847D5">
        <w:tc>
          <w:tcPr>
            <w:tcW w:w="1748" w:type="dxa"/>
          </w:tcPr>
          <w:p w14:paraId="5A87DE4C" w14:textId="678BBE68" w:rsidR="008550CA" w:rsidRDefault="00121C0C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Quebec</w:t>
            </w:r>
          </w:p>
        </w:tc>
        <w:tc>
          <w:tcPr>
            <w:tcW w:w="4253" w:type="dxa"/>
            <w:vAlign w:val="center"/>
          </w:tcPr>
          <w:p w14:paraId="2967DE21" w14:textId="6D860532" w:rsidR="000D79E4" w:rsidRDefault="00121C0C" w:rsidP="00121C0C">
            <w:pPr>
              <w:jc w:val="center"/>
              <w:rPr>
                <w:rFonts w:ascii="Arial Narrow" w:hAnsi="Arial Narrow"/>
              </w:rPr>
            </w:pPr>
            <w:proofErr w:type="spellStart"/>
            <w:r w:rsidRPr="00121C0C">
              <w:rPr>
                <w:rFonts w:ascii="Arial Narrow" w:hAnsi="Arial Narrow"/>
              </w:rPr>
              <w:t>Travelodge</w:t>
            </w:r>
            <w:proofErr w:type="spellEnd"/>
            <w:r w:rsidRPr="00121C0C">
              <w:rPr>
                <w:rFonts w:ascii="Arial Narrow" w:hAnsi="Arial Narrow"/>
              </w:rPr>
              <w:t xml:space="preserve"> Quebec</w:t>
            </w:r>
          </w:p>
        </w:tc>
        <w:tc>
          <w:tcPr>
            <w:tcW w:w="1308" w:type="dxa"/>
          </w:tcPr>
          <w:p w14:paraId="10C16DA2" w14:textId="0BE4A668" w:rsidR="00BB7C31" w:rsidRPr="00CD081B" w:rsidRDefault="00121C0C" w:rsidP="00121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2847D5" w14:paraId="4E8A735D" w14:textId="77777777" w:rsidTr="002847D5">
        <w:tc>
          <w:tcPr>
            <w:tcW w:w="1748" w:type="dxa"/>
          </w:tcPr>
          <w:p w14:paraId="2A670431" w14:textId="0CCDFAE3" w:rsidR="002847D5" w:rsidRDefault="00121C0C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Montreal</w:t>
            </w:r>
          </w:p>
        </w:tc>
        <w:tc>
          <w:tcPr>
            <w:tcW w:w="4253" w:type="dxa"/>
            <w:vAlign w:val="center"/>
          </w:tcPr>
          <w:p w14:paraId="4D189096" w14:textId="0AB83564" w:rsidR="002847D5" w:rsidRDefault="00121C0C" w:rsidP="00121C0C">
            <w:pPr>
              <w:jc w:val="center"/>
              <w:rPr>
                <w:rFonts w:ascii="Arial Narrow" w:hAnsi="Arial Narrow"/>
              </w:rPr>
            </w:pPr>
            <w:proofErr w:type="spellStart"/>
            <w:r w:rsidRPr="00121C0C">
              <w:rPr>
                <w:rFonts w:ascii="Arial Narrow" w:hAnsi="Arial Narrow"/>
              </w:rPr>
              <w:t>Best</w:t>
            </w:r>
            <w:proofErr w:type="spellEnd"/>
            <w:r w:rsidRPr="00121C0C">
              <w:rPr>
                <w:rFonts w:ascii="Arial Narrow" w:hAnsi="Arial Narrow"/>
              </w:rPr>
              <w:t xml:space="preserve"> Western </w:t>
            </w:r>
            <w:proofErr w:type="spellStart"/>
            <w:r w:rsidRPr="00121C0C">
              <w:rPr>
                <w:rFonts w:ascii="Arial Narrow" w:hAnsi="Arial Narrow"/>
              </w:rPr>
              <w:t>Brossard</w:t>
            </w:r>
            <w:proofErr w:type="spellEnd"/>
          </w:p>
        </w:tc>
        <w:tc>
          <w:tcPr>
            <w:tcW w:w="1308" w:type="dxa"/>
          </w:tcPr>
          <w:p w14:paraId="426F9A97" w14:textId="26FCA881" w:rsidR="002847D5" w:rsidRPr="00CD081B" w:rsidRDefault="00121C0C" w:rsidP="00121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</w:tbl>
    <w:p w14:paraId="64BE31A5" w14:textId="77777777" w:rsidR="00557C1B" w:rsidRDefault="00557C1B" w:rsidP="000D79E4">
      <w:pPr>
        <w:jc w:val="both"/>
        <w:rPr>
          <w:rFonts w:ascii="Arial Narrow" w:hAnsi="Arial Narrow"/>
          <w:bCs/>
          <w:iCs/>
        </w:rPr>
      </w:pPr>
    </w:p>
    <w:p w14:paraId="7CB8FF17" w14:textId="77777777" w:rsidR="00093312" w:rsidRDefault="00093312" w:rsidP="000D79E4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</w:p>
    <w:p w14:paraId="235A02F9" w14:textId="77777777" w:rsidR="00093312" w:rsidRDefault="00093312" w:rsidP="000D79E4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</w:p>
    <w:p w14:paraId="6F8371B6" w14:textId="601F1448" w:rsidR="00557C1B" w:rsidRPr="00E5301D" w:rsidRDefault="00557C1B" w:rsidP="000D79E4">
      <w:pPr>
        <w:jc w:val="both"/>
        <w:rPr>
          <w:rFonts w:ascii="Arial Narrow" w:hAnsi="Arial Narrow"/>
          <w:b/>
          <w:bCs/>
          <w:iCs/>
        </w:rPr>
      </w:pPr>
      <w:r w:rsidRPr="00E5301D">
        <w:rPr>
          <w:rFonts w:ascii="Arial Narrow" w:hAnsi="Arial Narrow"/>
          <w:b/>
          <w:bCs/>
          <w:iCs/>
          <w:color w:val="E36C0A" w:themeColor="accent6" w:themeShade="BF"/>
        </w:rPr>
        <w:lastRenderedPageBreak/>
        <w:t>NOTAS IMPORTANTES</w:t>
      </w:r>
    </w:p>
    <w:p w14:paraId="70B79B92" w14:textId="4ED81CC2" w:rsidR="00223CCC" w:rsidRPr="00DC624D" w:rsidRDefault="00223CCC" w:rsidP="009166FB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</w:rPr>
        <w:t>Ciertas fechas aún no establecidas pueden sufrir suplementos</w:t>
      </w:r>
    </w:p>
    <w:p w14:paraId="5758231D" w14:textId="45916347" w:rsidR="00DC624D" w:rsidRPr="00DC624D" w:rsidRDefault="00DC624D" w:rsidP="00DC624D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</w:rPr>
        <w:t>En ciertas fechas, los hoteles propuestos no están disponibles debidos a eventos anuales preestablecidos. En esta situación se mencionará al momento de la reserva y confirmaremos los hoteles disponibles de la misma categoría a los mencionados</w:t>
      </w:r>
    </w:p>
    <w:p w14:paraId="13C92E3D" w14:textId="3CAFC101" w:rsidR="00557C1B" w:rsidRPr="00223CCC" w:rsidRDefault="00557C1B" w:rsidP="009166FB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Cs/>
          <w:iCs/>
        </w:rPr>
      </w:pPr>
      <w:r w:rsidRPr="00121C0C">
        <w:rPr>
          <w:rFonts w:ascii="Arial Narrow" w:hAnsi="Arial Narrow"/>
          <w:bCs/>
        </w:rPr>
        <w:t xml:space="preserve">El crucero por </w:t>
      </w:r>
      <w:r w:rsidR="00121C0C" w:rsidRPr="00121C0C">
        <w:rPr>
          <w:rFonts w:ascii="Arial Narrow" w:hAnsi="Arial Narrow"/>
          <w:bCs/>
        </w:rPr>
        <w:t>las Mil Islas, solo opera de mayo a o</w:t>
      </w:r>
      <w:r w:rsidRPr="00121C0C">
        <w:rPr>
          <w:rFonts w:ascii="Arial Narrow" w:hAnsi="Arial Narrow"/>
          <w:bCs/>
        </w:rPr>
        <w:t>ctubre, fuera de</w:t>
      </w:r>
      <w:r w:rsidR="00121C0C" w:rsidRPr="00121C0C">
        <w:rPr>
          <w:rFonts w:ascii="Arial Narrow" w:hAnsi="Arial Narrow"/>
          <w:bCs/>
        </w:rPr>
        <w:t xml:space="preserve"> estas fechas la actividad será </w:t>
      </w:r>
      <w:r w:rsidRPr="00121C0C">
        <w:rPr>
          <w:rFonts w:ascii="Arial Narrow" w:hAnsi="Arial Narrow"/>
          <w:bCs/>
        </w:rPr>
        <w:t>reemplazada por el Muse</w:t>
      </w:r>
      <w:r w:rsidR="00121C0C" w:rsidRPr="00121C0C">
        <w:rPr>
          <w:rFonts w:ascii="Arial Narrow" w:hAnsi="Arial Narrow"/>
          <w:bCs/>
        </w:rPr>
        <w:t>o de la civilización en Quebec</w:t>
      </w:r>
    </w:p>
    <w:p w14:paraId="4B4E9A7B" w14:textId="728EAE40" w:rsidR="00223CCC" w:rsidRDefault="00223CCC" w:rsidP="009166FB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 xml:space="preserve">Está permitido máximo 1 maleta por persona en los </w:t>
      </w:r>
      <w:r w:rsidRPr="00223CCC">
        <w:rPr>
          <w:rFonts w:ascii="Arial Narrow" w:hAnsi="Arial Narrow"/>
          <w:bCs/>
          <w:iCs/>
        </w:rPr>
        <w:t>traslados</w:t>
      </w:r>
      <w:r>
        <w:rPr>
          <w:rFonts w:ascii="Arial Narrow" w:hAnsi="Arial Narrow"/>
          <w:bCs/>
          <w:iCs/>
        </w:rPr>
        <w:t>. En caso de equipaje adicional costos extras pueden ser cobrados en destino</w:t>
      </w:r>
    </w:p>
    <w:p w14:paraId="66BFB686" w14:textId="07C20518" w:rsidR="00223CCC" w:rsidRPr="00223CCC" w:rsidRDefault="00223CCC" w:rsidP="009166FB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Todos los viajeros deben de informarse y cumplir con las reglas sanitarias</w:t>
      </w:r>
      <w:r w:rsidR="008F3D22">
        <w:rPr>
          <w:rFonts w:ascii="Arial Narrow" w:hAnsi="Arial Narrow"/>
          <w:bCs/>
          <w:iCs/>
        </w:rPr>
        <w:t xml:space="preserve"> vigentes en Canadá al momento de su viaje</w:t>
      </w:r>
    </w:p>
    <w:p w14:paraId="213D60E8" w14:textId="77777777" w:rsidR="0039349C" w:rsidRPr="00AC2A67" w:rsidRDefault="0039349C" w:rsidP="000D79E4">
      <w:pPr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FBD8" w14:textId="77777777" w:rsidR="00661A27" w:rsidRDefault="00661A27" w:rsidP="00D4640C">
      <w:r>
        <w:separator/>
      </w:r>
    </w:p>
  </w:endnote>
  <w:endnote w:type="continuationSeparator" w:id="0">
    <w:p w14:paraId="20960D1C" w14:textId="77777777" w:rsidR="00661A27" w:rsidRDefault="00661A27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C1DC" w14:textId="77777777" w:rsidR="00661A27" w:rsidRDefault="00661A27" w:rsidP="00D4640C">
      <w:r>
        <w:separator/>
      </w:r>
    </w:p>
  </w:footnote>
  <w:footnote w:type="continuationSeparator" w:id="0">
    <w:p w14:paraId="27C8C2E6" w14:textId="77777777" w:rsidR="00661A27" w:rsidRDefault="00661A27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81B75"/>
    <w:multiLevelType w:val="hybridMultilevel"/>
    <w:tmpl w:val="1A62653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67A5"/>
    <w:multiLevelType w:val="hybridMultilevel"/>
    <w:tmpl w:val="C63C5D6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01F"/>
    <w:multiLevelType w:val="hybridMultilevel"/>
    <w:tmpl w:val="9F5AE3A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A26EA"/>
    <w:multiLevelType w:val="hybridMultilevel"/>
    <w:tmpl w:val="2DE2B01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08679">
    <w:abstractNumId w:val="0"/>
  </w:num>
  <w:num w:numId="2" w16cid:durableId="1331327004">
    <w:abstractNumId w:val="1"/>
  </w:num>
  <w:num w:numId="3" w16cid:durableId="2090958749">
    <w:abstractNumId w:val="3"/>
  </w:num>
  <w:num w:numId="4" w16cid:durableId="13155275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2767"/>
    <w:rsid w:val="00024C1B"/>
    <w:rsid w:val="00027405"/>
    <w:rsid w:val="00031944"/>
    <w:rsid w:val="00033DC2"/>
    <w:rsid w:val="00036783"/>
    <w:rsid w:val="00040BDA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3312"/>
    <w:rsid w:val="00093416"/>
    <w:rsid w:val="00096B0A"/>
    <w:rsid w:val="000A3DEB"/>
    <w:rsid w:val="000A3EB6"/>
    <w:rsid w:val="000A52CC"/>
    <w:rsid w:val="000B2302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D79E4"/>
    <w:rsid w:val="000E4FA6"/>
    <w:rsid w:val="000E5479"/>
    <w:rsid w:val="000E645A"/>
    <w:rsid w:val="000F578C"/>
    <w:rsid w:val="000F5E1E"/>
    <w:rsid w:val="000F6068"/>
    <w:rsid w:val="000F6F81"/>
    <w:rsid w:val="00104430"/>
    <w:rsid w:val="00111802"/>
    <w:rsid w:val="00121C0C"/>
    <w:rsid w:val="00131CF1"/>
    <w:rsid w:val="00132833"/>
    <w:rsid w:val="00134A2D"/>
    <w:rsid w:val="00137DC6"/>
    <w:rsid w:val="00140D6F"/>
    <w:rsid w:val="00140F0A"/>
    <w:rsid w:val="00142983"/>
    <w:rsid w:val="001454AB"/>
    <w:rsid w:val="00145E6F"/>
    <w:rsid w:val="00151D42"/>
    <w:rsid w:val="00152ADC"/>
    <w:rsid w:val="00153789"/>
    <w:rsid w:val="0015791A"/>
    <w:rsid w:val="001663B0"/>
    <w:rsid w:val="00171698"/>
    <w:rsid w:val="00173953"/>
    <w:rsid w:val="00173E1C"/>
    <w:rsid w:val="00180DA3"/>
    <w:rsid w:val="00183717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F29A2"/>
    <w:rsid w:val="001F384E"/>
    <w:rsid w:val="001F401E"/>
    <w:rsid w:val="002031F7"/>
    <w:rsid w:val="0020347D"/>
    <w:rsid w:val="00207C1C"/>
    <w:rsid w:val="00216E96"/>
    <w:rsid w:val="00223CCC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426D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47D5"/>
    <w:rsid w:val="0028536C"/>
    <w:rsid w:val="00285CF1"/>
    <w:rsid w:val="0028789D"/>
    <w:rsid w:val="002878AB"/>
    <w:rsid w:val="00290E82"/>
    <w:rsid w:val="00295FF7"/>
    <w:rsid w:val="00296D97"/>
    <w:rsid w:val="002A366A"/>
    <w:rsid w:val="002A3C92"/>
    <w:rsid w:val="002A5765"/>
    <w:rsid w:val="002A5EA8"/>
    <w:rsid w:val="002B01ED"/>
    <w:rsid w:val="002B075A"/>
    <w:rsid w:val="002B1302"/>
    <w:rsid w:val="002C0938"/>
    <w:rsid w:val="002C1A56"/>
    <w:rsid w:val="002C45ED"/>
    <w:rsid w:val="002C493B"/>
    <w:rsid w:val="002C5099"/>
    <w:rsid w:val="002C61CA"/>
    <w:rsid w:val="002D0C2F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6EE5"/>
    <w:rsid w:val="00317546"/>
    <w:rsid w:val="003177ED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43A9F"/>
    <w:rsid w:val="003546AA"/>
    <w:rsid w:val="00355137"/>
    <w:rsid w:val="00362702"/>
    <w:rsid w:val="00362765"/>
    <w:rsid w:val="00364BED"/>
    <w:rsid w:val="003668EC"/>
    <w:rsid w:val="00374096"/>
    <w:rsid w:val="0038610A"/>
    <w:rsid w:val="00390BDE"/>
    <w:rsid w:val="00390F60"/>
    <w:rsid w:val="003917EF"/>
    <w:rsid w:val="0039349C"/>
    <w:rsid w:val="00394660"/>
    <w:rsid w:val="003A2917"/>
    <w:rsid w:val="003A77B5"/>
    <w:rsid w:val="003B000C"/>
    <w:rsid w:val="003B3C7D"/>
    <w:rsid w:val="003B407F"/>
    <w:rsid w:val="003B6360"/>
    <w:rsid w:val="003B6A24"/>
    <w:rsid w:val="003C06EC"/>
    <w:rsid w:val="003C31B5"/>
    <w:rsid w:val="003C325B"/>
    <w:rsid w:val="003C4261"/>
    <w:rsid w:val="003C4ECF"/>
    <w:rsid w:val="003C699C"/>
    <w:rsid w:val="003D178D"/>
    <w:rsid w:val="003D57C0"/>
    <w:rsid w:val="003D669B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1E39"/>
    <w:rsid w:val="00422967"/>
    <w:rsid w:val="0042703D"/>
    <w:rsid w:val="00427256"/>
    <w:rsid w:val="004309A9"/>
    <w:rsid w:val="00433669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420A"/>
    <w:rsid w:val="00474E0B"/>
    <w:rsid w:val="00476648"/>
    <w:rsid w:val="0048377E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E6B16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2F51"/>
    <w:rsid w:val="00543FC8"/>
    <w:rsid w:val="00545E8F"/>
    <w:rsid w:val="0054610E"/>
    <w:rsid w:val="0055430C"/>
    <w:rsid w:val="00557C1B"/>
    <w:rsid w:val="00560C01"/>
    <w:rsid w:val="005644E8"/>
    <w:rsid w:val="00567D4F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813"/>
    <w:rsid w:val="005940BB"/>
    <w:rsid w:val="005969DB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092E"/>
    <w:rsid w:val="005F1C90"/>
    <w:rsid w:val="005F3AB7"/>
    <w:rsid w:val="005F68A0"/>
    <w:rsid w:val="005F7064"/>
    <w:rsid w:val="00600831"/>
    <w:rsid w:val="00602C1C"/>
    <w:rsid w:val="0060372F"/>
    <w:rsid w:val="00606A57"/>
    <w:rsid w:val="00606F3B"/>
    <w:rsid w:val="00607692"/>
    <w:rsid w:val="00614707"/>
    <w:rsid w:val="0061525D"/>
    <w:rsid w:val="0062560F"/>
    <w:rsid w:val="00625C72"/>
    <w:rsid w:val="0062671E"/>
    <w:rsid w:val="006271AB"/>
    <w:rsid w:val="00630741"/>
    <w:rsid w:val="0063229B"/>
    <w:rsid w:val="006345A3"/>
    <w:rsid w:val="00634DE0"/>
    <w:rsid w:val="0063531D"/>
    <w:rsid w:val="00637A7C"/>
    <w:rsid w:val="00642AB4"/>
    <w:rsid w:val="00642AC0"/>
    <w:rsid w:val="006440AB"/>
    <w:rsid w:val="006451CD"/>
    <w:rsid w:val="00645560"/>
    <w:rsid w:val="00653C85"/>
    <w:rsid w:val="00655BAF"/>
    <w:rsid w:val="00661A27"/>
    <w:rsid w:val="0066323D"/>
    <w:rsid w:val="00663BA5"/>
    <w:rsid w:val="00667191"/>
    <w:rsid w:val="006710EE"/>
    <w:rsid w:val="00673E29"/>
    <w:rsid w:val="00676A4D"/>
    <w:rsid w:val="00680E4A"/>
    <w:rsid w:val="00685649"/>
    <w:rsid w:val="00685EDB"/>
    <w:rsid w:val="00690372"/>
    <w:rsid w:val="006907B4"/>
    <w:rsid w:val="006972BA"/>
    <w:rsid w:val="006A4B4A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450C"/>
    <w:rsid w:val="006E46CC"/>
    <w:rsid w:val="006E4A71"/>
    <w:rsid w:val="006E587F"/>
    <w:rsid w:val="006E72A4"/>
    <w:rsid w:val="006F0167"/>
    <w:rsid w:val="007035F8"/>
    <w:rsid w:val="0071097A"/>
    <w:rsid w:val="0071757D"/>
    <w:rsid w:val="00717CA6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501C3"/>
    <w:rsid w:val="007564E0"/>
    <w:rsid w:val="00762381"/>
    <w:rsid w:val="00770DCE"/>
    <w:rsid w:val="007714DF"/>
    <w:rsid w:val="007720F4"/>
    <w:rsid w:val="00773095"/>
    <w:rsid w:val="00777D97"/>
    <w:rsid w:val="007858F5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1B93"/>
    <w:rsid w:val="007B2D9F"/>
    <w:rsid w:val="007B4054"/>
    <w:rsid w:val="007B632A"/>
    <w:rsid w:val="007C24A2"/>
    <w:rsid w:val="007C339B"/>
    <w:rsid w:val="007C5CCF"/>
    <w:rsid w:val="007C76DA"/>
    <w:rsid w:val="007D455B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2200"/>
    <w:rsid w:val="008023E6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4BB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830"/>
    <w:rsid w:val="008C1936"/>
    <w:rsid w:val="008C3E94"/>
    <w:rsid w:val="008C53AA"/>
    <w:rsid w:val="008C5806"/>
    <w:rsid w:val="008D0D26"/>
    <w:rsid w:val="008D137F"/>
    <w:rsid w:val="008D3D03"/>
    <w:rsid w:val="008D3DCC"/>
    <w:rsid w:val="008D63F9"/>
    <w:rsid w:val="008D7EFB"/>
    <w:rsid w:val="008E1102"/>
    <w:rsid w:val="008E1466"/>
    <w:rsid w:val="008E1D9B"/>
    <w:rsid w:val="008E4241"/>
    <w:rsid w:val="008F0068"/>
    <w:rsid w:val="008F3D22"/>
    <w:rsid w:val="008F5AFC"/>
    <w:rsid w:val="008F5C31"/>
    <w:rsid w:val="009121C8"/>
    <w:rsid w:val="009166FB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2930"/>
    <w:rsid w:val="00983DFC"/>
    <w:rsid w:val="00983E7C"/>
    <w:rsid w:val="009869D1"/>
    <w:rsid w:val="009936B9"/>
    <w:rsid w:val="009A0A31"/>
    <w:rsid w:val="009A0C0E"/>
    <w:rsid w:val="009A405A"/>
    <w:rsid w:val="009B1BA0"/>
    <w:rsid w:val="009D0A3F"/>
    <w:rsid w:val="009D757A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4AA7"/>
    <w:rsid w:val="00A1536F"/>
    <w:rsid w:val="00A16C64"/>
    <w:rsid w:val="00A20A7D"/>
    <w:rsid w:val="00A20CF3"/>
    <w:rsid w:val="00A23A1D"/>
    <w:rsid w:val="00A2455B"/>
    <w:rsid w:val="00A265AF"/>
    <w:rsid w:val="00A324DD"/>
    <w:rsid w:val="00A369FD"/>
    <w:rsid w:val="00A40B2D"/>
    <w:rsid w:val="00A43E89"/>
    <w:rsid w:val="00A455EC"/>
    <w:rsid w:val="00A465F0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2A67"/>
    <w:rsid w:val="00AC4660"/>
    <w:rsid w:val="00AC46F9"/>
    <w:rsid w:val="00AC61C1"/>
    <w:rsid w:val="00AC75DE"/>
    <w:rsid w:val="00AD456D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E76FB"/>
    <w:rsid w:val="00AE7C7B"/>
    <w:rsid w:val="00AF00AD"/>
    <w:rsid w:val="00AF0986"/>
    <w:rsid w:val="00AF0F50"/>
    <w:rsid w:val="00AF13F4"/>
    <w:rsid w:val="00AF1C80"/>
    <w:rsid w:val="00AF7C37"/>
    <w:rsid w:val="00B04161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5F8E"/>
    <w:rsid w:val="00B90CD8"/>
    <w:rsid w:val="00B96F77"/>
    <w:rsid w:val="00BA0895"/>
    <w:rsid w:val="00BA2C8C"/>
    <w:rsid w:val="00BA47D7"/>
    <w:rsid w:val="00BA78C2"/>
    <w:rsid w:val="00BA7E57"/>
    <w:rsid w:val="00BB09FC"/>
    <w:rsid w:val="00BB2642"/>
    <w:rsid w:val="00BB326A"/>
    <w:rsid w:val="00BB3DFC"/>
    <w:rsid w:val="00BB4BD7"/>
    <w:rsid w:val="00BB7C31"/>
    <w:rsid w:val="00BC5D49"/>
    <w:rsid w:val="00BC651F"/>
    <w:rsid w:val="00BD0BFE"/>
    <w:rsid w:val="00BD30E6"/>
    <w:rsid w:val="00BD3870"/>
    <w:rsid w:val="00BD460D"/>
    <w:rsid w:val="00BD4674"/>
    <w:rsid w:val="00BE18A5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62B3"/>
    <w:rsid w:val="00C20A72"/>
    <w:rsid w:val="00C219CC"/>
    <w:rsid w:val="00C244D3"/>
    <w:rsid w:val="00C2722B"/>
    <w:rsid w:val="00C3086D"/>
    <w:rsid w:val="00C30F3B"/>
    <w:rsid w:val="00C40ECF"/>
    <w:rsid w:val="00C451AD"/>
    <w:rsid w:val="00C5056F"/>
    <w:rsid w:val="00C5619F"/>
    <w:rsid w:val="00C565FA"/>
    <w:rsid w:val="00C5733D"/>
    <w:rsid w:val="00C577DA"/>
    <w:rsid w:val="00C641E4"/>
    <w:rsid w:val="00C70637"/>
    <w:rsid w:val="00C7161A"/>
    <w:rsid w:val="00C74344"/>
    <w:rsid w:val="00C743AF"/>
    <w:rsid w:val="00C761F7"/>
    <w:rsid w:val="00C7640B"/>
    <w:rsid w:val="00C7773B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2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07E9"/>
    <w:rsid w:val="00D1190C"/>
    <w:rsid w:val="00D13724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384"/>
    <w:rsid w:val="00D34FA0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4C7"/>
    <w:rsid w:val="00D6066C"/>
    <w:rsid w:val="00D64727"/>
    <w:rsid w:val="00D647FC"/>
    <w:rsid w:val="00D64EE0"/>
    <w:rsid w:val="00D67D3D"/>
    <w:rsid w:val="00D705CE"/>
    <w:rsid w:val="00D7168F"/>
    <w:rsid w:val="00D75AFD"/>
    <w:rsid w:val="00D76244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44DD"/>
    <w:rsid w:val="00DA58CF"/>
    <w:rsid w:val="00DB4681"/>
    <w:rsid w:val="00DB6AC7"/>
    <w:rsid w:val="00DC1848"/>
    <w:rsid w:val="00DC1DF3"/>
    <w:rsid w:val="00DC3C79"/>
    <w:rsid w:val="00DC3E4E"/>
    <w:rsid w:val="00DC50B1"/>
    <w:rsid w:val="00DC624D"/>
    <w:rsid w:val="00DD328A"/>
    <w:rsid w:val="00DD3593"/>
    <w:rsid w:val="00DD4CC9"/>
    <w:rsid w:val="00DE140F"/>
    <w:rsid w:val="00DE29CA"/>
    <w:rsid w:val="00DE31DF"/>
    <w:rsid w:val="00DE363D"/>
    <w:rsid w:val="00DE46F8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301D"/>
    <w:rsid w:val="00E54737"/>
    <w:rsid w:val="00E615C8"/>
    <w:rsid w:val="00E61A8B"/>
    <w:rsid w:val="00E62759"/>
    <w:rsid w:val="00E6324E"/>
    <w:rsid w:val="00E635BE"/>
    <w:rsid w:val="00E644B4"/>
    <w:rsid w:val="00E66118"/>
    <w:rsid w:val="00E66C1B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7850"/>
    <w:rsid w:val="00EA7A93"/>
    <w:rsid w:val="00EB43C9"/>
    <w:rsid w:val="00EB54E8"/>
    <w:rsid w:val="00EB5DAB"/>
    <w:rsid w:val="00EB67AA"/>
    <w:rsid w:val="00EB7C76"/>
    <w:rsid w:val="00EC1342"/>
    <w:rsid w:val="00EC3604"/>
    <w:rsid w:val="00EC4EF7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426B"/>
    <w:rsid w:val="00EE45E6"/>
    <w:rsid w:val="00EE5D4D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11E00"/>
    <w:rsid w:val="00F1554E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786E"/>
    <w:rsid w:val="00FB434E"/>
    <w:rsid w:val="00FB4404"/>
    <w:rsid w:val="00FC40CA"/>
    <w:rsid w:val="00FC4229"/>
    <w:rsid w:val="00FC60E5"/>
    <w:rsid w:val="00FC6454"/>
    <w:rsid w:val="00FC7009"/>
    <w:rsid w:val="00FC7200"/>
    <w:rsid w:val="00FD68D3"/>
    <w:rsid w:val="00FD7441"/>
    <w:rsid w:val="00FD75F4"/>
    <w:rsid w:val="00FE2296"/>
    <w:rsid w:val="00FE4857"/>
    <w:rsid w:val="00FE57AD"/>
    <w:rsid w:val="00FE5BBA"/>
    <w:rsid w:val="00FF04B3"/>
    <w:rsid w:val="00FF1793"/>
    <w:rsid w:val="00FF27F7"/>
    <w:rsid w:val="00FF3050"/>
    <w:rsid w:val="00FF4B0F"/>
    <w:rsid w:val="00FF58DE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EE13-2AA9-4469-891A-AD39E0E7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13</cp:revision>
  <dcterms:created xsi:type="dcterms:W3CDTF">2025-01-10T18:34:00Z</dcterms:created>
  <dcterms:modified xsi:type="dcterms:W3CDTF">2025-02-20T23:44:00Z</dcterms:modified>
</cp:coreProperties>
</file>