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32"/>
          <w:szCs w:val="32"/>
        </w:rPr>
      </w:pPr>
      <w:r w:rsidDel="00000000" w:rsidR="00000000" w:rsidRPr="00000000">
        <w:rPr>
          <w:rFonts w:ascii="Lora" w:cs="Lora" w:eastAsia="Lora" w:hAnsi="Lora"/>
          <w:color w:val="e36c09"/>
          <w:sz w:val="56"/>
          <w:szCs w:val="56"/>
          <w:rtl w:val="0"/>
        </w:rPr>
        <w:t xml:space="preserve">CIUDADES DE CHINA EN TREN</w:t>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06 DIAS / 05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w0rgh8eyci4" w:id="0"/>
      <w:bookmarkEnd w:id="0"/>
      <w:r w:rsidDel="00000000" w:rsidR="00000000" w:rsidRPr="00000000">
        <w:rPr>
          <w:rFonts w:ascii="Arial Narrow" w:cs="Arial Narrow" w:eastAsia="Arial Narrow" w:hAnsi="Arial Narrow"/>
          <w:color w:val="e36c09"/>
          <w:rtl w:val="0"/>
        </w:rPr>
        <w:t xml:space="preserve">DIA 1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almuerzo no incluido. Alojamiento.</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2 / BEIJING </w:t>
      </w:r>
    </w:p>
    <w:p w:rsidR="00000000" w:rsidDel="00000000" w:rsidP="00000000" w:rsidRDefault="00000000" w:rsidRPr="00000000" w14:paraId="00000008">
      <w:pP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un jardín veraniego para la casa imperial de la Dinastía Qing. Almuerzo incluido. Por la noche, Excursión opcional: </w:t>
      </w:r>
      <w:r w:rsidDel="00000000" w:rsidR="00000000" w:rsidRPr="00000000">
        <w:rPr>
          <w:rFonts w:ascii="Arial Narrow" w:cs="Arial Narrow" w:eastAsia="Arial Narrow" w:hAnsi="Arial Narrow"/>
          <w:i w:val="1"/>
          <w:rtl w:val="0"/>
        </w:rPr>
        <w:t xml:space="preserve">a un Espectáculo de Acrobacia.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e36c09"/>
        </w:rPr>
      </w:pPr>
      <w:bookmarkStart w:colFirst="0" w:colLast="0" w:name="_heading=h.8l5yki1ajiin" w:id="1"/>
      <w:bookmarkEnd w:id="1"/>
      <w:r w:rsidDel="00000000" w:rsidR="00000000" w:rsidRPr="00000000">
        <w:rPr>
          <w:rFonts w:ascii="Arial Narrow" w:cs="Arial Narrow" w:eastAsia="Arial Narrow" w:hAnsi="Arial Narrow"/>
          <w:color w:val="e36c09"/>
          <w:rtl w:val="0"/>
        </w:rPr>
        <w:t xml:space="preserve">DIA 3 / BEIJING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Almuerzo incluido. Por la tarde vuelta a la ciudad y hacemos una parada cerca del “Nido del Pájaro” (Estadio Nacional) y el “Cubo del Agua”(Centro Nacional de Natación) para tomar fotos (sin entrar en los estadios). Terminaremos con la visita al Mercado de la Seda, famoso por las imitaciones, para aprovechar las compras. Por la noche, cena de bienvenida degustando el delicioso Pato Laqueado de Beijing. Alojamiento.</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 BEIJING – SHANGHAI  </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Templo del Cielo, construido en 1420 con una superficie de 267 ha, donde los emperadores rezaban por las buenas cosechas. Almuerzo incluido. Por la tarde, salida en avión hacia Shanghai, uno de los municipios directamente subordinados al Poder Central, cuenta con más de 15 millones de habitantes, es el mayor puerto, centro comercial y la metrópoli más internacional de China. Traslado al hotel. Alojamiento.</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joq7fvjeom" w:id="2"/>
      <w:bookmarkEnd w:id="2"/>
      <w:r w:rsidDel="00000000" w:rsidR="00000000" w:rsidRPr="00000000">
        <w:rPr>
          <w:rFonts w:ascii="Arial Narrow" w:cs="Arial Narrow" w:eastAsia="Arial Narrow" w:hAnsi="Arial Narrow"/>
          <w:color w:val="e36c09"/>
          <w:rtl w:val="0"/>
        </w:rPr>
        <w:t xml:space="preserve">DIA 5 / SHANGHAI </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Un tour del día completo del Jardín Yuyuan, el Barrio Antiguo, el Templo del Buda de Jade y el Malecón de la Ciudad. Almuerzo incluido. Alojamiento.</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e36c09"/>
        </w:rPr>
      </w:pPr>
      <w:bookmarkStart w:colFirst="0" w:colLast="0" w:name="_heading=h.g8pyomrbe4do" w:id="3"/>
      <w:bookmarkEnd w:id="3"/>
      <w:r w:rsidDel="00000000" w:rsidR="00000000" w:rsidRPr="00000000">
        <w:rPr>
          <w:rFonts w:ascii="Arial Narrow" w:cs="Arial Narrow" w:eastAsia="Arial Narrow" w:hAnsi="Arial Narrow"/>
          <w:color w:val="e36c09"/>
          <w:rtl w:val="0"/>
        </w:rPr>
        <w:t xml:space="preserve">DIA 6 / SHANGHA – CIUDAD DE ORIGEN     </w:t>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citada traslado al aeropuerto y FIN DE NUESTROS SERVICIOS.</w:t>
      </w:r>
    </w:p>
    <w:p w:rsidR="00000000" w:rsidDel="00000000" w:rsidP="00000000" w:rsidRDefault="00000000" w:rsidRPr="00000000" w14:paraId="00000015">
      <w:pPr>
        <w:jc w:val="both"/>
        <w:rPr>
          <w:rFonts w:ascii="Arial Narrow" w:cs="Arial Narrow" w:eastAsia="Arial Narrow" w:hAnsi="Arial Narrow"/>
        </w:rPr>
      </w:pPr>
      <w:bookmarkStart w:colFirst="0" w:colLast="0" w:name="_heading=h.l8suul54fl6v" w:id="4"/>
      <w:bookmarkEnd w:id="4"/>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center"/>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FECHAS DE INICO DE CIRCUITO</w:t>
      </w:r>
    </w:p>
    <w:p w:rsidR="00000000" w:rsidDel="00000000" w:rsidP="00000000" w:rsidRDefault="00000000" w:rsidRPr="00000000" w14:paraId="0000001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Salidas todos los lunes, martes y jueves del 21 de marzo 2025 al 19 de marzo del 2026</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DOLARES</w:t>
      </w:r>
      <w:r w:rsidDel="00000000" w:rsidR="00000000" w:rsidRPr="00000000">
        <w:rPr>
          <w:rtl w:val="0"/>
        </w:rPr>
      </w:r>
    </w:p>
    <w:tbl>
      <w:tblPr>
        <w:tblStyle w:val="Table1"/>
        <w:tblW w:w="5890.999999999999" w:type="dxa"/>
        <w:jc w:val="left"/>
        <w:tblInd w:w="1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7"/>
        <w:gridCol w:w="1282"/>
        <w:gridCol w:w="1282"/>
        <w:tblGridChange w:id="0">
          <w:tblGrid>
            <w:gridCol w:w="3327"/>
            <w:gridCol w:w="1282"/>
            <w:gridCol w:w="1282"/>
          </w:tblGrid>
        </w:tblGridChange>
      </w:tblGrid>
      <w:tr>
        <w:trPr>
          <w:cantSplit w:val="0"/>
          <w:tblHeader w:val="0"/>
        </w:trPr>
        <w:tc>
          <w:tcPr/>
          <w:p w:rsidR="00000000" w:rsidDel="00000000" w:rsidP="00000000" w:rsidRDefault="00000000" w:rsidRPr="00000000" w14:paraId="0000001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tcBorders>
              <w:right w:color="000000" w:space="0" w:sz="0" w:val="nil"/>
            </w:tcBorders>
          </w:tcPr>
          <w:p w:rsidR="00000000" w:rsidDel="00000000" w:rsidP="00000000" w:rsidRDefault="00000000" w:rsidRPr="00000000" w14:paraId="0000001D">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DBL</w:t>
            </w:r>
          </w:p>
        </w:tc>
        <w:tc>
          <w:tcPr>
            <w:tcBorders>
              <w:left w:color="000000" w:space="0" w:sz="0" w:val="nil"/>
            </w:tcBorders>
          </w:tcPr>
          <w:p w:rsidR="00000000" w:rsidDel="00000000" w:rsidP="00000000" w:rsidRDefault="00000000" w:rsidRPr="00000000" w14:paraId="0000001E">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SLG</w:t>
            </w:r>
          </w:p>
        </w:tc>
      </w:tr>
      <w:tr>
        <w:trPr>
          <w:cantSplit w:val="0"/>
          <w:tblHeader w:val="0"/>
        </w:trPr>
        <w:tc>
          <w:tcPr/>
          <w:p w:rsidR="00000000" w:rsidDel="00000000" w:rsidP="00000000" w:rsidRDefault="00000000" w:rsidRPr="00000000" w14:paraId="0000001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21 MAR – 22 MAY 2025</w:t>
            </w:r>
          </w:p>
        </w:tc>
        <w:tc>
          <w:tcPr/>
          <w:p w:rsidR="00000000" w:rsidDel="00000000" w:rsidP="00000000" w:rsidRDefault="00000000" w:rsidRPr="00000000" w14:paraId="0000002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 271</w:t>
            </w:r>
          </w:p>
        </w:tc>
        <w:tc>
          <w:tcPr/>
          <w:p w:rsidR="00000000" w:rsidDel="00000000" w:rsidP="00000000" w:rsidRDefault="00000000" w:rsidRPr="00000000" w14:paraId="0000002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$ 1,745</w:t>
            </w:r>
          </w:p>
        </w:tc>
      </w:tr>
      <w:tr>
        <w:trPr>
          <w:cantSplit w:val="0"/>
          <w:tblHeader w:val="0"/>
        </w:trPr>
        <w:tc>
          <w:tcPr/>
          <w:p w:rsidR="00000000" w:rsidDel="00000000" w:rsidP="00000000" w:rsidRDefault="00000000" w:rsidRPr="00000000" w14:paraId="0000002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23 MAY – 21 AGO 2025</w:t>
            </w:r>
          </w:p>
        </w:tc>
        <w:tc>
          <w:tcPr/>
          <w:p w:rsidR="00000000" w:rsidDel="00000000" w:rsidP="00000000" w:rsidRDefault="00000000" w:rsidRPr="00000000" w14:paraId="0000002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$ 1,285</w:t>
            </w:r>
          </w:p>
        </w:tc>
        <w:tc>
          <w:tcPr/>
          <w:p w:rsidR="00000000" w:rsidDel="00000000" w:rsidP="00000000" w:rsidRDefault="00000000" w:rsidRPr="00000000" w14:paraId="0000002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$ 1,760</w:t>
            </w:r>
          </w:p>
        </w:tc>
      </w:tr>
      <w:tr>
        <w:trPr>
          <w:cantSplit w:val="0"/>
          <w:tblHeader w:val="0"/>
        </w:trPr>
        <w:tc>
          <w:tcPr/>
          <w:p w:rsidR="00000000" w:rsidDel="00000000" w:rsidP="00000000" w:rsidRDefault="00000000" w:rsidRPr="00000000" w14:paraId="0000002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22 AGO – 06 NOV 2025</w:t>
            </w:r>
          </w:p>
        </w:tc>
        <w:tc>
          <w:tcPr/>
          <w:p w:rsidR="00000000" w:rsidDel="00000000" w:rsidP="00000000" w:rsidRDefault="00000000" w:rsidRPr="00000000" w14:paraId="0000002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$ 1,291</w:t>
            </w:r>
          </w:p>
        </w:tc>
        <w:tc>
          <w:tcPr/>
          <w:p w:rsidR="00000000" w:rsidDel="00000000" w:rsidP="00000000" w:rsidRDefault="00000000" w:rsidRPr="00000000" w14:paraId="0000002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$ 1,780</w:t>
            </w:r>
          </w:p>
        </w:tc>
      </w:tr>
      <w:tr>
        <w:trPr>
          <w:cantSplit w:val="0"/>
          <w:tblHeader w:val="0"/>
        </w:trPr>
        <w:tc>
          <w:tcPr/>
          <w:p w:rsidR="00000000" w:rsidDel="00000000" w:rsidP="00000000" w:rsidRDefault="00000000" w:rsidRPr="00000000" w14:paraId="0000002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07 NOV 2025 - 09 FEB 2026</w:t>
            </w:r>
          </w:p>
        </w:tc>
        <w:tc>
          <w:tcPr/>
          <w:p w:rsidR="00000000" w:rsidDel="00000000" w:rsidP="00000000" w:rsidRDefault="00000000" w:rsidRPr="00000000" w14:paraId="0000002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$ 1,070</w:t>
            </w:r>
          </w:p>
        </w:tc>
        <w:tc>
          <w:tcPr/>
          <w:p w:rsidR="00000000" w:rsidDel="00000000" w:rsidP="00000000" w:rsidRDefault="00000000" w:rsidRPr="00000000" w14:paraId="0000002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$ 1,725</w:t>
            </w:r>
          </w:p>
        </w:tc>
      </w:tr>
      <w:tr>
        <w:trPr>
          <w:cantSplit w:val="0"/>
          <w:tblHeader w:val="0"/>
        </w:trPr>
        <w:tc>
          <w:tcPr/>
          <w:p w:rsidR="00000000" w:rsidDel="00000000" w:rsidP="00000000" w:rsidRDefault="00000000" w:rsidRPr="00000000" w14:paraId="0000002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23 FEB 2026 – 19 MAR 2026</w:t>
            </w:r>
          </w:p>
        </w:tc>
        <w:tc>
          <w:tcPr/>
          <w:p w:rsidR="00000000" w:rsidDel="00000000" w:rsidP="00000000" w:rsidRDefault="00000000" w:rsidRPr="00000000" w14:paraId="0000002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$ 1,271</w:t>
            </w:r>
          </w:p>
        </w:tc>
        <w:tc>
          <w:tcPr/>
          <w:p w:rsidR="00000000" w:rsidDel="00000000" w:rsidP="00000000" w:rsidRDefault="00000000" w:rsidRPr="00000000" w14:paraId="0000002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$ 1,745</w:t>
            </w:r>
          </w:p>
        </w:tc>
      </w:tr>
    </w:tbl>
    <w:p w:rsidR="00000000" w:rsidDel="00000000" w:rsidP="00000000" w:rsidRDefault="00000000" w:rsidRPr="00000000" w14:paraId="0000002E">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para espectáculo de acrobacia en Beijing para Día 2:</w:t>
        <w:tab/>
        <w:tab/>
        <w:t xml:space="preserve">$ 68</w:t>
      </w:r>
    </w:p>
    <w:p w:rsidR="00000000" w:rsidDel="00000000" w:rsidP="00000000" w:rsidRDefault="00000000" w:rsidRPr="00000000" w14:paraId="0000002F">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jc w:val="both"/>
        <w:rPr>
          <w:rFonts w:ascii="Arial Narrow" w:cs="Arial Narrow" w:eastAsia="Arial Narrow" w:hAnsi="Arial Narrow"/>
          <w:b w:val="1"/>
        </w:rPr>
      </w:pPr>
      <w:bookmarkStart w:colFirst="0" w:colLast="0" w:name="_heading=h.pjvimjbftw6a" w:id="5"/>
      <w:bookmarkEnd w:id="5"/>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Hoteles con desayuno buffet.</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Media pensión con almuerzos de comida china o buffet mixto en restaurantes locales según lo mencionado en el programa.</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Una cena especial de “Pato Laqueado” en Beijing</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 a Shanghai.</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con guías locales de habla hispana en Beijing y Shanghai.</w:t>
      </w:r>
      <w:r w:rsidDel="00000000" w:rsidR="00000000" w:rsidRPr="00000000">
        <w:rPr>
          <w:rtl w:val="0"/>
        </w:rPr>
      </w:r>
    </w:p>
    <w:p w:rsidR="00000000" w:rsidDel="00000000" w:rsidP="00000000" w:rsidRDefault="00000000" w:rsidRPr="00000000" w14:paraId="00000037">
      <w:pPr>
        <w:ind w:left="360" w:firstLine="0"/>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38">
      <w:pPr>
        <w:ind w:left="360" w:firstLine="0"/>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no incluido.</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 de llegada y salida</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Propinas para guía, conductor, etc. no incluidas. Propinas sugeridas: para guía y chofer - 7 USD por pax por día y para maletero del hotel - 2 USD por maleta para subir o bajar.</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Tasas hoteleras no incluidas.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incluido ningún otro servicio no especificado en el apartado de Incluye.</w:t>
      </w:r>
    </w:p>
    <w:p w:rsidR="00000000" w:rsidDel="00000000" w:rsidP="00000000" w:rsidRDefault="00000000" w:rsidRPr="00000000" w14:paraId="0000003F">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0">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1">
      <w:pPr>
        <w:jc w:val="center"/>
        <w:rPr>
          <w:rFonts w:ascii="Arial Narrow" w:cs="Arial Narrow" w:eastAsia="Arial Narrow" w:hAnsi="Arial Narrow"/>
          <w:b w:val="1"/>
          <w:color w:val="e36c09"/>
        </w:rPr>
      </w:pPr>
      <w:bookmarkStart w:colFirst="0" w:colLast="0" w:name="_heading=h.7wfiifdqnr2y" w:id="6"/>
      <w:bookmarkEnd w:id="6"/>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7629.0" w:type="dxa"/>
        <w:jc w:val="left"/>
        <w:tblInd w:w="50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3"/>
        <w:gridCol w:w="3685"/>
        <w:gridCol w:w="1751"/>
        <w:tblGridChange w:id="0">
          <w:tblGrid>
            <w:gridCol w:w="2193"/>
            <w:gridCol w:w="3685"/>
            <w:gridCol w:w="1751"/>
          </w:tblGrid>
        </w:tblGridChange>
      </w:tblGrid>
      <w:tr>
        <w:trPr>
          <w:cantSplit w:val="0"/>
          <w:tblHeader w:val="0"/>
        </w:trPr>
        <w:tc>
          <w:tcPr/>
          <w:p w:rsidR="00000000" w:rsidDel="00000000" w:rsidP="00000000" w:rsidRDefault="00000000" w:rsidRPr="00000000" w14:paraId="0000004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43">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44">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Categoria</w:t>
            </w:r>
          </w:p>
        </w:tc>
      </w:tr>
      <w:tr>
        <w:trPr>
          <w:cantSplit w:val="0"/>
          <w:tblHeader w:val="0"/>
        </w:trPr>
        <w:tc>
          <w:tcPr/>
          <w:p w:rsidR="00000000" w:rsidDel="00000000" w:rsidP="00000000" w:rsidRDefault="00000000" w:rsidRPr="00000000" w14:paraId="0000004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46">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V-Continent Beijing Parkview Wuzhou</w:t>
              </w:r>
            </w:hyperlink>
            <w:r w:rsidDel="00000000" w:rsidR="00000000" w:rsidRPr="00000000">
              <w:rPr>
                <w:rtl w:val="0"/>
              </w:rPr>
            </w:r>
          </w:p>
        </w:tc>
        <w:tc>
          <w:tcPr/>
          <w:p w:rsidR="00000000" w:rsidDel="00000000" w:rsidP="00000000" w:rsidRDefault="00000000" w:rsidRPr="00000000" w14:paraId="0000004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4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49">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Grand Mercure Shanghai Hongqiao</w:t>
              </w:r>
            </w:hyperlink>
            <w:r w:rsidDel="00000000" w:rsidR="00000000" w:rsidRPr="00000000">
              <w:rPr>
                <w:rtl w:val="0"/>
              </w:rPr>
            </w:r>
          </w:p>
        </w:tc>
        <w:tc>
          <w:tcPr/>
          <w:p w:rsidR="00000000" w:rsidDel="00000000" w:rsidP="00000000" w:rsidRDefault="00000000" w:rsidRPr="00000000" w14:paraId="0000004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4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jc w:val="center"/>
        <w:rPr>
          <w:rFonts w:ascii="Lora" w:cs="Lora" w:eastAsia="Lora" w:hAnsi="Lora"/>
          <w:color w:val="e94e1a"/>
          <w:sz w:val="32"/>
          <w:szCs w:val="32"/>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418"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hg.com/crowneplaza/hotels/us/en/reservation?fromRedirect=true&amp;qSrt=sBR&amp;qSlH=pegpv&amp;setPMCookies=true&amp;srb_u=1" TargetMode="External"/><Relationship Id="rId8" Type="http://schemas.openxmlformats.org/officeDocument/2006/relationships/hyperlink" Target="https://all.accor.com/hotel/6694/index.es.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0CwSuMt8Nr/HrIxCNLLhLS5w==">CgMxLjAyDWgudzByZ2g4ZXljaTQyDmguOGw1eWtpMWFqaWluMgxoLmpvcTdmdmplb20yDmguZzhweW9tcmJlNGRvMg5oLmw4c3V1bDU0Zmw2djIOaC5wanZpbWpiZnR3NmEyDmguN3dmaWlmZHFucjJ5OAByITFCYzZPQTFfTkk2S1V5bVNaUnd0SlZIRVEwa1hQcUpUdA==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2025-05-05T20:03:00Z</dcterms:created>
  <dc:creator>Alicia Diaz</dc:creator>
</cp:coreProperties>
</file>