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b w:val="1"/>
          <w:color w:val="e36c09"/>
          <w:sz w:val="46"/>
          <w:szCs w:val="46"/>
        </w:rPr>
      </w:pPr>
      <w:r w:rsidDel="00000000" w:rsidR="00000000" w:rsidRPr="00000000">
        <w:rPr>
          <w:rFonts w:ascii="Lora" w:cs="Lora" w:eastAsia="Lora" w:hAnsi="Lora"/>
          <w:b w:val="1"/>
          <w:color w:val="e36c09"/>
          <w:sz w:val="60"/>
          <w:szCs w:val="60"/>
          <w:rtl w:val="0"/>
        </w:rPr>
        <w:t xml:space="preserve">ISLANDIA</w:t>
      </w:r>
      <w:r w:rsidDel="00000000" w:rsidR="00000000" w:rsidRPr="00000000">
        <w:rPr>
          <w:rtl w:val="0"/>
        </w:rPr>
      </w:r>
    </w:p>
    <w:p w:rsidR="00000000" w:rsidDel="00000000" w:rsidP="00000000" w:rsidRDefault="00000000" w:rsidRPr="00000000" w14:paraId="00000002">
      <w:pPr>
        <w:jc w:val="center"/>
        <w:rPr>
          <w:rFonts w:ascii="Lora" w:cs="Lora" w:eastAsia="Lora" w:hAnsi="Lora"/>
          <w:b w:val="1"/>
          <w:sz w:val="34"/>
          <w:szCs w:val="34"/>
        </w:rPr>
      </w:pPr>
      <w:r w:rsidDel="00000000" w:rsidR="00000000" w:rsidRPr="00000000">
        <w:rPr>
          <w:rFonts w:ascii="Lora" w:cs="Lora" w:eastAsia="Lora" w:hAnsi="Lora"/>
          <w:b w:val="1"/>
          <w:color w:val="e36c09"/>
          <w:sz w:val="34"/>
          <w:szCs w:val="34"/>
          <w:rtl w:val="0"/>
        </w:rPr>
        <w:t xml:space="preserve">7 días/6 noches</w:t>
      </w: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1 / LUNES / PAÍS DE ORIGEN – REIKIAVIK</w:t>
      </w: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 llegar a Reikiavik, un taxista te recibe con un cartel con el logotipo del operador o con tu nombre para un cómodo traslado a tu hotel en el corazón de Reikiavik, donde pasarás tu primera noche. Alojamiento.</w:t>
      </w:r>
    </w:p>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2 / MARTES / EL CIRCULO DORADO</w:t>
      </w: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Nuestro guía te recogerá en la recepción del hotel entre las 9:45 y las 10:00 horas. Visitaremos el Parque Natural de Þíngvellir, donde se encontraba el Parlamento más antiguo del mundo y la falla que separa América de Europa. Luego, nos dirigiremos a la zona geotermal de Geysir, donde presenciarás el géiser Strokkur en acción. Finalmente, la catarata de Gullfoss te dejará sin aliento, un verdadero espectáculo de la naturaleza. Alojamiento en hotel en la zona Hella (1 noche).</w:t>
      </w:r>
    </w:p>
    <w:p w:rsidR="00000000" w:rsidDel="00000000" w:rsidP="00000000" w:rsidRDefault="00000000" w:rsidRPr="00000000" w14:paraId="0000000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3 / MIÉRCOLES / LA COSTA SUR</w:t>
      </w: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El día comienza con una fascinante visita al museo interactivo Lava Centre, un lugar ideal para adentrarse en la geología de Islandia. A continuación, nos sumergiremos en los paisajes indómitos de la costa sur de Islandia. Admira la majestuosa caída de la célebre cascada de Skógafoss, con 60 metros de altura y 25 de anchura. Pasea por la icónica playa volcánica de arena negra de Vík. Alojamiento en hotel en la mágica zona del glaciar Vatnajökull (2 noches).</w:t>
      </w:r>
    </w:p>
    <w:p w:rsidR="00000000" w:rsidDel="00000000" w:rsidP="00000000" w:rsidRDefault="00000000" w:rsidRPr="00000000" w14:paraId="0000000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4 / JUEVES / EL GLACIAR VATNAJÖKULL</w:t>
      </w: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El majestuoso glaciar más grande de Europa. Este día nos lleva a explorar una de las partes más deslumbrantes de Islandia. La jornada comienza con una fascinante excursión a una cueva de hielo, una actividad diseñada para todos los espíritus aventureros, guiada por un experto en glaciares. En esta excursión el guía hablará en inglés y el grupo será mayor de 8 personas. Cercano a este lugar inolvidable, visitamos Jökulsárlón, la célebre laguna de icebergs; junto a ella, se encuentra la conocida “playa de diamantes”, donde, en ocasiones, los icebergs reposan sobre la arena negra volcánica, creando un contraste visual de ensueño. Por último, conocerás la imponente laguna glaciar de Fjalsárlón, ¡escenario de Juego de Tronos!. Alojamiento en el hotel.</w:t>
      </w:r>
    </w:p>
    <w:p w:rsidR="00000000" w:rsidDel="00000000" w:rsidP="00000000" w:rsidRDefault="00000000" w:rsidRPr="00000000" w14:paraId="0000000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5 / VIERNES / LA COSTA AZUL</w:t>
      </w: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El día comienza con la visita a la espectacular lengua glaciar de Svínafellsjökull, donde se rodó, entre otras, la película Interstellar. Seguimos hacia el oeste, cruzando nuevamente la costa sur de Islandia, haciendo paradas en el mágico campo de lava de Eldhraun y, poco después, en la famosa playa de arena negra de Reynisfjara, célebre por sus columnas de basalto. Finalmente, nos deleitamos con la espléndida cascada de Seljalandsfoss (quizás puedas aventurarte a pasar detrás de ella) y la cascada oculta de Gljúfrabúi, una de las maravillas más sorprendentes de Islandia. Alojamiento en hotel en la encantadora zona de Hella (1 noche).</w:t>
      </w:r>
    </w:p>
    <w:p w:rsidR="00000000" w:rsidDel="00000000" w:rsidP="00000000" w:rsidRDefault="00000000" w:rsidRPr="00000000" w14:paraId="0000001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6 / SÁBADO / BAÑO EN SKY LAGOON</w:t>
      </w: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El último día de nuestra ruta con el guía, y qué mejor manera de culminar que con una experiencia relajante: un baño de aprox. 2 horas en el encantador Sky Lagoon. La entrada incluye toalla, pero no olvides tu traje de baño. La modalidad de entrada es “Saman”, lo que te permitirá deleitarte con el “ritual de Spa de 7 pasos”. Llegada al hotel entre las 14:00 y 15:00 horas aprox. Alojamiento en un hotel céntrico en Reikiavik.</w:t>
      </w:r>
    </w:p>
    <w:p w:rsidR="00000000" w:rsidDel="00000000" w:rsidP="00000000" w:rsidRDefault="00000000" w:rsidRPr="00000000" w14:paraId="0000001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DÍA 7 / DOMINGO / REIKIAVIK – PAÍS DE ORIGEN</w:t>
      </w: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Desayuno en el hotel. Traslado al aeropuerto con recogida en la recepción de tu hotel 3 horas antes de la salida de tu vuelo.</w:t>
      </w:r>
    </w:p>
    <w:p w:rsidR="00000000" w:rsidDel="00000000" w:rsidP="00000000" w:rsidRDefault="00000000" w:rsidRPr="00000000" w14:paraId="0000001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FIN DE NUESTROS SERVICIOS</w:t>
      </w: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b w:val="1"/>
        </w:rPr>
      </w:pPr>
      <w:bookmarkStart w:colFirst="0" w:colLast="0" w:name="_heading=h.ffg7x8utvwag" w:id="0"/>
      <w:bookmarkEnd w:id="0"/>
      <w:r w:rsidDel="00000000" w:rsidR="00000000" w:rsidRPr="00000000">
        <w:rPr>
          <w:rFonts w:ascii="Century Gothic" w:cs="Century Gothic" w:eastAsia="Century Gothic" w:hAnsi="Century Gothic"/>
          <w:b w:val="1"/>
          <w:color w:val="e36c09"/>
          <w:rtl w:val="0"/>
        </w:rPr>
        <w:t xml:space="preserve">FECHAS DE SALIDA LUNES:</w:t>
      </w: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2025:</w:t>
      </w:r>
      <w:r w:rsidDel="00000000" w:rsidR="00000000" w:rsidRPr="00000000">
        <w:rPr>
          <w:rFonts w:ascii="Century Gothic" w:cs="Century Gothic" w:eastAsia="Century Gothic" w:hAnsi="Century Gothic"/>
          <w:rtl w:val="0"/>
        </w:rPr>
        <w:t xml:space="preserve"> 13, 20 y 27 de octubre, 03, 10, 17 y 24 de noviembre, 01 y 08 de diciembre</w:t>
      </w:r>
    </w:p>
    <w:p w:rsidR="00000000" w:rsidDel="00000000" w:rsidP="00000000" w:rsidRDefault="00000000" w:rsidRPr="00000000" w14:paraId="0000001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2026: 05, 12, 19 y 26 de enero, 02, 09, 16 y 23 de febrero, 02, 09, 16, 23 y 30 de marzo, 06 de abril </w:t>
      </w:r>
    </w:p>
    <w:p w:rsidR="00000000" w:rsidDel="00000000" w:rsidP="00000000" w:rsidRDefault="00000000" w:rsidRPr="00000000" w14:paraId="0000001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COSTO POR PERSONA EN EUROS</w:t>
      </w:r>
    </w:p>
    <w:p w:rsidR="00000000" w:rsidDel="00000000" w:rsidP="00000000" w:rsidRDefault="00000000" w:rsidRPr="00000000" w14:paraId="00000022">
      <w:pPr>
        <w:jc w:val="both"/>
        <w:rPr>
          <w:rFonts w:ascii="Century Gothic" w:cs="Century Gothic" w:eastAsia="Century Gothic" w:hAnsi="Century Gothic"/>
          <w:b w:val="1"/>
          <w:color w:val="e36c09"/>
        </w:rPr>
      </w:pPr>
      <w:r w:rsidDel="00000000" w:rsidR="00000000" w:rsidRPr="00000000">
        <w:rPr>
          <w:rtl w:val="0"/>
        </w:rPr>
      </w:r>
    </w:p>
    <w:tbl>
      <w:tblPr>
        <w:tblStyle w:val="Table1"/>
        <w:tblW w:w="4394.0" w:type="dxa"/>
        <w:jc w:val="left"/>
        <w:tblInd w:w="21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2410"/>
        <w:tblGridChange w:id="0">
          <w:tblGrid>
            <w:gridCol w:w="1984"/>
            <w:gridCol w:w="2410"/>
          </w:tblGrid>
        </w:tblGridChange>
      </w:tblGrid>
      <w:tr>
        <w:trPr>
          <w:cantSplit w:val="0"/>
          <w:tblHeader w:val="0"/>
        </w:trPr>
        <w:tc>
          <w:tcPr>
            <w:shd w:fill="e36c09" w:val="clear"/>
          </w:tcPr>
          <w:p w:rsidR="00000000" w:rsidDel="00000000" w:rsidP="00000000" w:rsidRDefault="00000000" w:rsidRPr="00000000" w14:paraId="00000023">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Acomodación</w:t>
            </w:r>
          </w:p>
        </w:tc>
        <w:tc>
          <w:tcPr>
            <w:shd w:fill="e36c09" w:val="clear"/>
          </w:tcPr>
          <w:p w:rsidR="00000000" w:rsidDel="00000000" w:rsidP="00000000" w:rsidRDefault="00000000" w:rsidRPr="00000000" w14:paraId="00000024">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Costo</w:t>
            </w:r>
          </w:p>
        </w:tc>
      </w:tr>
      <w:tr>
        <w:trPr>
          <w:cantSplit w:val="0"/>
          <w:tblHeader w:val="0"/>
        </w:trPr>
        <w:tc>
          <w:tcPr>
            <w:vAlign w:val="center"/>
          </w:tcPr>
          <w:p w:rsidR="00000000" w:rsidDel="00000000" w:rsidP="00000000" w:rsidRDefault="00000000" w:rsidRPr="00000000" w14:paraId="0000002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Doble (DBL)</w:t>
            </w:r>
          </w:p>
        </w:tc>
        <w:tc>
          <w:tcPr>
            <w:vAlign w:val="center"/>
          </w:tcPr>
          <w:p w:rsidR="00000000" w:rsidDel="00000000" w:rsidP="00000000" w:rsidRDefault="00000000" w:rsidRPr="00000000" w14:paraId="0000002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3,520 €</w:t>
            </w:r>
          </w:p>
        </w:tc>
      </w:tr>
      <w:tr>
        <w:trPr>
          <w:cantSplit w:val="0"/>
          <w:tblHeader w:val="0"/>
        </w:trPr>
        <w:tc>
          <w:tcPr>
            <w:vAlign w:val="center"/>
          </w:tcPr>
          <w:p w:rsidR="00000000" w:rsidDel="00000000" w:rsidP="00000000" w:rsidRDefault="00000000" w:rsidRPr="00000000" w14:paraId="0000002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Triple (TPL)</w:t>
            </w:r>
          </w:p>
        </w:tc>
        <w:tc>
          <w:tcPr>
            <w:vAlign w:val="center"/>
          </w:tcPr>
          <w:p w:rsidR="00000000" w:rsidDel="00000000" w:rsidP="00000000" w:rsidRDefault="00000000" w:rsidRPr="00000000" w14:paraId="0000002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3,470 €</w:t>
            </w:r>
          </w:p>
        </w:tc>
      </w:tr>
      <w:tr>
        <w:trPr>
          <w:cantSplit w:val="0"/>
          <w:tblHeader w:val="0"/>
        </w:trPr>
        <w:tc>
          <w:tcPr>
            <w:vAlign w:val="center"/>
          </w:tcPr>
          <w:p w:rsidR="00000000" w:rsidDel="00000000" w:rsidP="00000000" w:rsidRDefault="00000000" w:rsidRPr="00000000" w14:paraId="0000002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Sencilla (SGL)</w:t>
            </w:r>
          </w:p>
        </w:tc>
        <w:tc>
          <w:tcPr>
            <w:vAlign w:val="center"/>
          </w:tcPr>
          <w:p w:rsidR="00000000" w:rsidDel="00000000" w:rsidP="00000000" w:rsidRDefault="00000000" w:rsidRPr="00000000" w14:paraId="0000002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4,035 €</w:t>
            </w:r>
          </w:p>
        </w:tc>
      </w:tr>
    </w:tbl>
    <w:p w:rsidR="00000000" w:rsidDel="00000000" w:rsidP="00000000" w:rsidRDefault="00000000" w:rsidRPr="00000000" w14:paraId="0000002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EL COSTO INCLUYE: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Traslados aeropuerto en taxi privado para el grupo</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6 noches de alojamiento en hoteles de 4 estrellas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Habitaciones con baño privado</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Desayunos tipo buffet</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Tour de 5 días con guía en español</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Transporte en grupo de máximo 8 personas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4 cenas en las 4 noches fuera de Reykjavík, sin bebidas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Uso de crampones, si hay hielo, durante el tour de 5 días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Excursión a cueva de hielo en el glaciar Vatnajökull (en inglés)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Acceso “Saman” a Laguna geotermal/Spa Sky Lagoon</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Acceso al Museo interactivo Lava Centre</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Teléfono de asistencia en destino en español</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WiFi gratuito en el vehículo</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IVA de actividades turísticas Islandia (11%)</w:t>
      </w:r>
    </w:p>
    <w:p w:rsidR="00000000" w:rsidDel="00000000" w:rsidP="00000000" w:rsidRDefault="00000000" w:rsidRPr="00000000" w14:paraId="0000003B">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3C">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e36c09"/>
          <w:rtl w:val="0"/>
        </w:rPr>
        <w:t xml:space="preserve">NO INCLUYE: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Propina para guía, chofer, etc.</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Gastos de índole personal</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Bebidas en las comidas incluidas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Comidas no </w:t>
      </w:r>
      <w:r w:rsidDel="00000000" w:rsidR="00000000" w:rsidRPr="00000000">
        <w:rPr>
          <w:rFonts w:ascii="Century Gothic" w:cs="Century Gothic" w:eastAsia="Century Gothic" w:hAnsi="Century Gothic"/>
          <w:rtl w:val="0"/>
        </w:rPr>
        <w:t xml:space="preserve">especificadas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en el itinerario.</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Vuelos internacionales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Lo no especificado en el apartado del costo incluye</w:t>
      </w:r>
    </w:p>
    <w:p w:rsidR="00000000" w:rsidDel="00000000" w:rsidP="00000000" w:rsidRDefault="00000000" w:rsidRPr="00000000" w14:paraId="0000004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45">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46">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47">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48">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49">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4A">
      <w:pPr>
        <w:jc w:val="both"/>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HOTELES PREVISTOS Y/O SIMILARES:</w:t>
      </w:r>
    </w:p>
    <w:p w:rsidR="00000000" w:rsidDel="00000000" w:rsidP="00000000" w:rsidRDefault="00000000" w:rsidRPr="00000000" w14:paraId="0000004B">
      <w:pPr>
        <w:jc w:val="both"/>
        <w:rPr>
          <w:rFonts w:ascii="Century Gothic" w:cs="Century Gothic" w:eastAsia="Century Gothic" w:hAnsi="Century Gothic"/>
          <w:b w:val="1"/>
          <w:color w:val="e36c09"/>
        </w:rPr>
      </w:pPr>
      <w:r w:rsidDel="00000000" w:rsidR="00000000" w:rsidRPr="00000000">
        <w:rPr>
          <w:rtl w:val="0"/>
        </w:rPr>
      </w:r>
    </w:p>
    <w:tbl>
      <w:tblPr>
        <w:tblStyle w:val="Table2"/>
        <w:tblW w:w="5953.0" w:type="dxa"/>
        <w:jc w:val="left"/>
        <w:tblInd w:w="15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9"/>
        <w:gridCol w:w="3544"/>
        <w:tblGridChange w:id="0">
          <w:tblGrid>
            <w:gridCol w:w="2409"/>
            <w:gridCol w:w="3544"/>
          </w:tblGrid>
        </w:tblGridChange>
      </w:tblGrid>
      <w:tr>
        <w:trPr>
          <w:cantSplit w:val="0"/>
          <w:tblHeader w:val="0"/>
        </w:trPr>
        <w:tc>
          <w:tcPr>
            <w:shd w:fill="e36c09" w:val="clear"/>
          </w:tcPr>
          <w:p w:rsidR="00000000" w:rsidDel="00000000" w:rsidP="00000000" w:rsidRDefault="00000000" w:rsidRPr="00000000" w14:paraId="0000004C">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Ciudad</w:t>
            </w:r>
          </w:p>
        </w:tc>
        <w:tc>
          <w:tcPr>
            <w:shd w:fill="e36c09" w:val="clear"/>
          </w:tcPr>
          <w:p w:rsidR="00000000" w:rsidDel="00000000" w:rsidP="00000000" w:rsidRDefault="00000000" w:rsidRPr="00000000" w14:paraId="0000004D">
            <w:pPr>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Hotel</w:t>
            </w:r>
          </w:p>
        </w:tc>
      </w:tr>
      <w:tr>
        <w:trPr>
          <w:cantSplit w:val="0"/>
          <w:tblHeader w:val="0"/>
        </w:trPr>
        <w:tc>
          <w:tcPr>
            <w:vAlign w:val="center"/>
          </w:tcPr>
          <w:p w:rsidR="00000000" w:rsidDel="00000000" w:rsidP="00000000" w:rsidRDefault="00000000" w:rsidRPr="00000000" w14:paraId="0000004E">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Reykjavik</w:t>
            </w:r>
          </w:p>
        </w:tc>
        <w:tc>
          <w:tcPr>
            <w:vAlign w:val="center"/>
          </w:tcPr>
          <w:p w:rsidR="00000000" w:rsidDel="00000000" w:rsidP="00000000" w:rsidRDefault="00000000" w:rsidRPr="00000000" w14:paraId="0000004F">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Fosshotel Reykjavík (4*)</w:t>
            </w:r>
          </w:p>
          <w:p w:rsidR="00000000" w:rsidDel="00000000" w:rsidP="00000000" w:rsidRDefault="00000000" w:rsidRPr="00000000" w14:paraId="0000005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Hotel Exeter (4*)</w:t>
            </w:r>
          </w:p>
          <w:p w:rsidR="00000000" w:rsidDel="00000000" w:rsidP="00000000" w:rsidRDefault="00000000" w:rsidRPr="00000000" w14:paraId="0000005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Hotel Óðinsvé (4*)</w:t>
            </w:r>
          </w:p>
        </w:tc>
      </w:tr>
      <w:tr>
        <w:trPr>
          <w:cantSplit w:val="0"/>
          <w:tblHeader w:val="0"/>
        </w:trPr>
        <w:tc>
          <w:tcPr>
            <w:vAlign w:val="center"/>
          </w:tcPr>
          <w:p w:rsidR="00000000" w:rsidDel="00000000" w:rsidP="00000000" w:rsidRDefault="00000000" w:rsidRPr="00000000" w14:paraId="00000052">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Zona Hella</w:t>
            </w:r>
          </w:p>
        </w:tc>
        <w:tc>
          <w:tcPr>
            <w:vAlign w:val="center"/>
          </w:tcPr>
          <w:p w:rsidR="00000000" w:rsidDel="00000000" w:rsidP="00000000" w:rsidRDefault="00000000" w:rsidRPr="00000000" w14:paraId="0000005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Hotel Landhotel (4*)</w:t>
            </w:r>
          </w:p>
          <w:p w:rsidR="00000000" w:rsidDel="00000000" w:rsidP="00000000" w:rsidRDefault="00000000" w:rsidRPr="00000000" w14:paraId="0000005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Hotel Lóa (4*)</w:t>
            </w:r>
          </w:p>
        </w:tc>
      </w:tr>
      <w:tr>
        <w:trPr>
          <w:cantSplit w:val="0"/>
          <w:tblHeader w:val="0"/>
        </w:trPr>
        <w:tc>
          <w:tcPr>
            <w:vAlign w:val="center"/>
          </w:tcPr>
          <w:p w:rsidR="00000000" w:rsidDel="00000000" w:rsidP="00000000" w:rsidRDefault="00000000" w:rsidRPr="00000000" w14:paraId="0000005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Zona Glaciar Vatnajökull</w:t>
            </w:r>
          </w:p>
        </w:tc>
        <w:tc>
          <w:tcPr>
            <w:vAlign w:val="center"/>
          </w:tcPr>
          <w:p w:rsidR="00000000" w:rsidDel="00000000" w:rsidP="00000000" w:rsidRDefault="00000000" w:rsidRPr="00000000" w14:paraId="0000005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Fosshotel Jökulsárlón (4*)</w:t>
            </w:r>
          </w:p>
          <w:p w:rsidR="00000000" w:rsidDel="00000000" w:rsidP="00000000" w:rsidRDefault="00000000" w:rsidRPr="00000000" w14:paraId="0000005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Hotel Jökulsárlón (4*)</w:t>
            </w:r>
          </w:p>
        </w:tc>
      </w:tr>
    </w:tbl>
    <w:p w:rsidR="00000000" w:rsidDel="00000000" w:rsidP="00000000" w:rsidRDefault="00000000" w:rsidRPr="00000000" w14:paraId="0000005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9">
      <w:pPr>
        <w:jc w:val="both"/>
        <w:rPr>
          <w:rFonts w:ascii="Century Gothic" w:cs="Century Gothic" w:eastAsia="Century Gothic" w:hAnsi="Century Gothic"/>
          <w:b w:val="1"/>
          <w:color w:val="e36c09"/>
        </w:rPr>
      </w:pPr>
      <w:r w:rsidDel="00000000" w:rsidR="00000000" w:rsidRPr="00000000">
        <w:rPr>
          <w:rFonts w:ascii="Century Gothic" w:cs="Century Gothic" w:eastAsia="Century Gothic" w:hAnsi="Century Gothic"/>
          <w:b w:val="1"/>
          <w:color w:val="e36c09"/>
          <w:rtl w:val="0"/>
        </w:rPr>
        <w:t xml:space="preserve">NOTA IMPORTANTE</w:t>
      </w:r>
    </w:p>
    <w:p w:rsidR="00000000" w:rsidDel="00000000" w:rsidP="00000000" w:rsidRDefault="00000000" w:rsidRPr="00000000" w14:paraId="0000005A">
      <w:pPr>
        <w:jc w:val="both"/>
        <w:rPr>
          <w:rFonts w:ascii="Century Gothic" w:cs="Century Gothic" w:eastAsia="Century Gothic" w:hAnsi="Century Gothic"/>
          <w:b w:val="1"/>
          <w:color w:val="e36c09"/>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Las visitas pueden variar el día según la climatología. Si bien no suele ocurrir, una climatología adversa podría imposibilitar la visita a alguno de los lugares del itinerario</w:t>
      </w:r>
    </w:p>
    <w:p w:rsidR="00000000" w:rsidDel="00000000" w:rsidP="00000000" w:rsidRDefault="00000000" w:rsidRPr="00000000" w14:paraId="0000005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D">
      <w:pPr>
        <w:jc w:val="center"/>
        <w:rPr>
          <w:rFonts w:ascii="Century Gothic" w:cs="Century Gothic" w:eastAsia="Century Gothic" w:hAnsi="Century Gothic"/>
          <w:b w:val="1"/>
          <w:i w:val="1"/>
          <w:sz w:val="34"/>
          <w:szCs w:val="34"/>
        </w:rPr>
      </w:pPr>
      <w:r w:rsidDel="00000000" w:rsidR="00000000" w:rsidRPr="00000000">
        <w:rPr>
          <w:rFonts w:ascii="Century Gothic" w:cs="Century Gothic" w:eastAsia="Century Gothic" w:hAnsi="Century Gothic"/>
          <w:b w:val="1"/>
          <w:i w:val="1"/>
          <w:color w:val="e94e1a"/>
          <w:sz w:val="34"/>
          <w:szCs w:val="34"/>
          <w:rtl w:val="0"/>
        </w:rPr>
        <w:t xml:space="preserve">PRECIOS Y DISPONIBILIDAD SUJETOS A CAMBIO HASTA EL MOMENTO DE LA CONFIRMACIÓN DE LOS SERVICIOS / CONSULTAR TÉRMINOS Y CONDICIONES</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VAGRundschriftDLig"/>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IhIdWzV1ZjwqQw0doh3sXugzbg==">CgMxLjAyDmguZmZnN3g4dXR2d2FnOAByITE1YjlEOXJjeGxlWHk3SFNKMF96RkNQMk1BMVNFcmNYNA==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2025-07-30T03:50:00Z</dcterms:created>
  <dc:creator>Alicia Diaz</dc:creator>
</cp:coreProperties>
</file>