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ora Medium" w:cs="Lora Medium" w:eastAsia="Lora Medium" w:hAnsi="Lora Medium"/>
          <w:b w:val="1"/>
          <w:color w:val="e36c09"/>
          <w:sz w:val="52"/>
          <w:szCs w:val="52"/>
        </w:rPr>
      </w:pPr>
      <w:r w:rsidDel="00000000" w:rsidR="00000000" w:rsidRPr="00000000">
        <w:rPr>
          <w:rFonts w:ascii="Lora Medium" w:cs="Lora Medium" w:eastAsia="Lora Medium" w:hAnsi="Lora Medium"/>
          <w:b w:val="1"/>
          <w:color w:val="e36c09"/>
          <w:sz w:val="52"/>
          <w:szCs w:val="52"/>
          <w:rtl w:val="0"/>
        </w:rPr>
        <w:t xml:space="preserve">KENYA Y TANZANIA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color w:val="e36c09"/>
          <w:sz w:val="56"/>
          <w:szCs w:val="5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32"/>
          <w:szCs w:val="32"/>
          <w:rtl w:val="0"/>
        </w:rPr>
        <w:t xml:space="preserve">9 DÍAS / 8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1 (MARTES / JUEVES) / ARUSHA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Llegada al Aeropuerto Internacional de Kilimanjaro y traslado al hotel. Uso de habitación no garantizado antes de las 12:00 hrs. Tarde libre. Alojamiento en el FOUR POINTS BY SHERATON ARUSHA.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2 (MIÉRCOLES / VIERNES) / ARUSHA – CRATER DE NGORONGORO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Mañana libre con uso de la habitación hasta las 10:00 hrs. A las 12:00hrs salida hacia el Área de Conservación del Ngorongoro, vía Lago Manyara y Karatu. Cena y alojamiento en KARATU SIMBA LODGE / NGORONGORO SERENA LODGE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3 (JUEVES / SÁBADO) / CRÁTER DE NGORONGORO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 y hoy se disfruta de una salida de safari en el cráter de Ngorongoro.  El resto del día se puede disfrutar de actividades opcionales en la zona (pago directo).  Almuerzo, cena y alojamiento en KARATU SIMBA LODGE / NGORONGORO SERENA LODGE.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  <w:b w:val="1"/>
          <w:color w:val="f7964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79646"/>
          <w:rtl w:val="0"/>
        </w:rPr>
        <w:t xml:space="preserve">Sugerencia de actividades adicionales (no incluidas)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Visitar una aldea Masái. En las cercanías del cráter viven comunidades Masái. Puedes visitar una de sus aldeas para conocer su cultura, danzas, vestimenta, modo de vida y comprar artesanías locales.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Caminatas guiadas fuera del cráter. Se pueden realizar caminatas guiadas en la zona del borde del cráter y en áreas cercanas (como el Empakaai Crater, donde puedes bajar caminando hasta el lago en su interior).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4 (VIERNES / DOMINGO) / CRÁTER DE NGORONGORO – LAGO MANYARA O TARANGIRE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Después del desayuno, salida hacia Lago Manyara o el Parque Nacional de Tarangire.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Opción 1: Salida por la tarde de safari en el Parque Nacional de Lago Manyara.  Almuerzo, cena y alojamiento en LAKE MANYARA SERENA LODGE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Opción 2: Salida por la tarde de safari en el Parque Nacional de Tarangire.  Almuerzo, cena y alojamiento en TARANGIRE SIMBA LODGE.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5 (SÁBADO / LUNES) / LAKE MANYARA O TARANGIRE – ARUSHA – NAMANGA – AMBOSELI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Opción 1: (si en Lago Manyara) Después del desayuno, regreso a Arusha.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Opción 2: (si en Tarangire) Después del desayuno, salida temprano hacia Arusha haciendo safari por el parque en camino.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Ambas opciones: Desde Arusha, salida hacia Namanga situada en la frontera de Kenya / Tanzania. Trámites de frontera, cambio de vehículos y continuación hasta el parque Nacional de Amboseli. Almuerzo en el lodge. Safari por la tarde.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Cena y alojamiento en: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AMBOSELI SOPA LODGE (opción Sopa)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 TUKAI LODGE (opción Serena).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6 (DOMINGO / MARTES) / AMBOSELI – NAKURU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 y salida temprano hacia el Lago Nakuru para llegar a la hora del almuerzo.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Almuerzo en el lodge. Por la tarde, salida para realizar un safari completo en el Parque Nacional del Lago Nakuru. Regreso al lodge al anochecer.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Cena y alojamiento en: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 NAKURU LODGE / LAKE NAKURU SOPA / LAKE NAIVASHA SIMBA LODGE / LAKE NAIVASHA SOPA (opción Classic).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SAROVA LION HILL / FLAMINGO / LAKE NAKURU SOPA LODGE (opción Superior).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7 (LUNES / MIÉRCOLES) / NAKURU – MAASAI MARA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 Salida a la Reserva Nacional de Maasai Mara, vía Narok, para llegar a almorzar. Safari por la tarde.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Cena y alojamiento 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MARA SIMBA LODGE / MARA LEISURE (CLASSIC TENTS) / MARA SOPA LODGE / PRIDE INN MARA O SIMILAR (opción Classic).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SAROVA MARA CAMP (DELUXE TENTS) / KANDILI MARA CAMP / LOYK MARA O SIMILAR (opción Superior).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8 (MARTES / JUEVES) / MAASAI MARA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Salida de safari, una por la mañana y otra por la tarde, por la reserva. 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Pensión completa en: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MARA SIMBA LODGE / MARA LEISURE (CLASSIC TENTS) / MARA SOPA LODGE / PRIDE INN MARA O SIMILAR (opción Classic).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SAROVA MARA CAMP (DELUXE TENTS) / KANDILI MARA CAMP / LOYK MARA O SIMILAR (opción Superior).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9 (MIÉRCOLES / VIERNES) / MAASAI MARA – NAIROBI – TRASLADO AEROPUERTO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 Narrow" w:cs="Arial Narrow" w:eastAsia="Arial Narrow" w:hAnsi="Arial Narrow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Después del desayuno en el hotel salida hacia Nairobi. Llegada alrededor del mediodía y almuerzo incluido en el Restaurante Carnivore. A la hora prevista, traslado al aeropuerto para el vuelo internacional 3 HORAS ANTES DE LA SALIDA DEL VUELO</w:t>
      </w:r>
      <w:r w:rsidDel="00000000" w:rsidR="00000000" w:rsidRPr="00000000">
        <w:rPr>
          <w:rFonts w:ascii="Arial Narrow" w:cs="Arial Narrow" w:eastAsia="Arial Narrow" w:hAnsi="Arial Narrow"/>
          <w:b w:val="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FIN DE NUESTROS SERVICIOS</w:t>
      </w:r>
    </w:p>
    <w:p w:rsidR="00000000" w:rsidDel="00000000" w:rsidP="00000000" w:rsidRDefault="00000000" w:rsidRPr="00000000" w14:paraId="0000003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PRECIOS POR PERSONA EN DÓLARES (USD) – SALIDAS JUEVES (CLASSIC)</w:t>
      </w: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1278.0" w:type="dxa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A0"/>
      </w:tblPr>
      <w:tblGrid>
        <w:gridCol w:w="3375"/>
        <w:gridCol w:w="2205"/>
        <w:gridCol w:w="2760"/>
        <w:gridCol w:w="2835"/>
        <w:tblGridChange w:id="0">
          <w:tblGrid>
            <w:gridCol w:w="3375"/>
            <w:gridCol w:w="2205"/>
            <w:gridCol w:w="2760"/>
            <w:gridCol w:w="28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Precio x persona en hab. doble / triple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Suplemento hab. Sencilla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Niño compartiendo habitación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28 junio – 31 octubre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4,285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2,570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01 noviembre – 15 diciembre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4,020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2,415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16 – 31 diciembre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4,215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2,530</w:t>
            </w:r>
          </w:p>
        </w:tc>
      </w:tr>
    </w:tbl>
    <w:p w:rsidR="00000000" w:rsidDel="00000000" w:rsidP="00000000" w:rsidRDefault="00000000" w:rsidRPr="00000000" w14:paraId="0000004B">
      <w:pPr>
        <w:spacing w:line="259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PRECIOS POR PERSONA EN DÓLARES (USD) –SALIDAS MARTES (SUPERIOR)</w:t>
      </w:r>
      <w:r w:rsidDel="00000000" w:rsidR="00000000" w:rsidRPr="00000000">
        <w:rPr>
          <w:rtl w:val="0"/>
        </w:rPr>
      </w:r>
    </w:p>
    <w:tbl>
      <w:tblPr>
        <w:tblStyle w:val="Table2"/>
        <w:tblW w:w="11040.0" w:type="dxa"/>
        <w:jc w:val="left"/>
        <w:tblInd w:w="-1203.0" w:type="dxa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A0"/>
      </w:tblPr>
      <w:tblGrid>
        <w:gridCol w:w="3300"/>
        <w:gridCol w:w="2235"/>
        <w:gridCol w:w="2790"/>
        <w:gridCol w:w="2715"/>
        <w:tblGridChange w:id="0">
          <w:tblGrid>
            <w:gridCol w:w="3300"/>
            <w:gridCol w:w="2235"/>
            <w:gridCol w:w="2790"/>
            <w:gridCol w:w="27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Precio x persona en hab. doble / triple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Suplemento hab. sencilla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Niño compartiendo habitación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16 septiembre – 31 octubre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5,230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1,270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3,140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01 noviembre – 15 diciembre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4,450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2,670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16 al 31 diciembre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5,695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1,595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59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3,420</w:t>
            </w:r>
          </w:p>
        </w:tc>
      </w:tr>
    </w:tbl>
    <w:p w:rsidR="00000000" w:rsidDel="00000000" w:rsidP="00000000" w:rsidRDefault="00000000" w:rsidRPr="00000000" w14:paraId="0000005D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SUPLEMENTOS Y DESCUENTOS – DÓLARES (USD) </w:t>
      </w:r>
    </w:p>
    <w:tbl>
      <w:tblPr>
        <w:tblStyle w:val="Table3"/>
        <w:tblW w:w="11055.0" w:type="dxa"/>
        <w:jc w:val="left"/>
        <w:tblInd w:w="-1188.0" w:type="dxa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A0"/>
      </w:tblPr>
      <w:tblGrid>
        <w:gridCol w:w="6585"/>
        <w:gridCol w:w="2490"/>
        <w:gridCol w:w="1980"/>
        <w:tblGridChange w:id="0">
          <w:tblGrid>
            <w:gridCol w:w="6585"/>
            <w:gridCol w:w="2490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Precio por adulto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Precio por niño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Descuento por no usar Carnivore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Suplemento Christmas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Aplicable: 24, 25, 26 y 31 diciembre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1 y 2 enero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Suplemento por salida desde Nairobi en lugar de Arusha (solo traslado y únicamente en salidas regulares).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215</w:t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leader="none" w:pos="1488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488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Suplemento por llegada a Nairobi en lugar de Arusha con alojamiento en el Park Inn (BB) en lugar del hotel Four Points: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8"/>
        </w:tabs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245 USD por persona en habitación doble / triple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8"/>
        </w:tabs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USD suplemento de habitación sencilla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8"/>
        </w:tabs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145 USD precio niño compartiendo habitación con los padres </w:t>
      </w:r>
    </w:p>
    <w:p w:rsidR="00000000" w:rsidDel="00000000" w:rsidP="00000000" w:rsidRDefault="00000000" w:rsidRPr="00000000" w14:paraId="00000072">
      <w:pPr>
        <w:tabs>
          <w:tab w:val="left" w:leader="none" w:pos="1488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bookmarkStart w:colFirst="0" w:colLast="0" w:name="_heading=h.nnjb1c3cgyt3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INCLUYE: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Traslados de aeropuerto tanto de llegada como de salida (en minibús o autobús de 22 plazas) según el itinerario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otros traslados dentro de las ciudades (en minibús o autobús de 22 plazas) según el itinerario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noche en el hotel de Arusha en régimen de alojamiento y desayuno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Pensión completa en los hoteles / lodges especificados durante el safari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Entradas a los parques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 en Land Cruises 4x4 de 7 plazas durante el safari (uso no exclusivo; ventana garantizada)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Safari en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4x4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(uso no exclusivo) en el Cráter de Ngorongoro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Conductor-guía de habla hispana (si la salida se compone de más de un vehículo, el guía se irá cambiando de coche durante el recorrido, entre 2 en Kenya y entre 3 en Tanzania)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guía para los briefings en Arusha y en Nairobi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Almuerzo en el Restaurante Carnívore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Flying doctors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Agua mineral en vehículos, durante el safari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Sombreros de safari + etiquetas para el equipaje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e36c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NO INCLUYE: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Vuelos internacionales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Seguro de viaje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Gastos personales </w:t>
      </w:r>
    </w:p>
    <w:p w:rsidR="00000000" w:rsidDel="00000000" w:rsidP="00000000" w:rsidRDefault="00000000" w:rsidRPr="00000000" w14:paraId="0000008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HOTELES PREVISTOS Y / O SIMILARES:</w:t>
      </w:r>
    </w:p>
    <w:tbl>
      <w:tblPr>
        <w:tblStyle w:val="Table4"/>
        <w:tblW w:w="10215.0" w:type="dxa"/>
        <w:jc w:val="center"/>
        <w:tblBorders>
          <w:top w:color="fac090" w:space="0" w:sz="4" w:val="single"/>
          <w:left w:color="fac090" w:space="0" w:sz="4" w:val="single"/>
          <w:bottom w:color="fac090" w:space="0" w:sz="4" w:val="single"/>
          <w:right w:color="fac090" w:space="0" w:sz="4" w:val="single"/>
          <w:insideH w:color="fac090" w:space="0" w:sz="4" w:val="single"/>
          <w:insideV w:color="fac090" w:space="0" w:sz="4" w:val="single"/>
        </w:tblBorders>
        <w:tblLayout w:type="fixed"/>
        <w:tblLook w:val="04A0"/>
      </w:tblPr>
      <w:tblGrid>
        <w:gridCol w:w="2160"/>
        <w:gridCol w:w="4125"/>
        <w:gridCol w:w="3930"/>
        <w:tblGridChange w:id="0">
          <w:tblGrid>
            <w:gridCol w:w="2160"/>
            <w:gridCol w:w="4125"/>
            <w:gridCol w:w="39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Hotel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Arusha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Four Points by Sheraton Arusha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Cráter de Ngorongoro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Karatu Simba Lodge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Ngorongoro Serena Lodge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Lago Manyara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Lake Manyara Serena Lodge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Tarangire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Tarangire Simba Lodge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Amboseli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Amboseli Sopa Lodge (Opción Sopa)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Ol Tukai Lodge (opción Serena)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Nakuru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Lake Naivasha Sopa (opción Classic)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Lake Nakuru Sopa Lodge (opción Superior)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Maasai 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Pride Inn Mara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(opción Classic)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Loyk Mara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(opción Superior)</w:t>
            </w:r>
          </w:p>
        </w:tc>
      </w:tr>
    </w:tbl>
    <w:p w:rsidR="00000000" w:rsidDel="00000000" w:rsidP="00000000" w:rsidRDefault="00000000" w:rsidRPr="00000000" w14:paraId="000000A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NOTAS IMPORTANTES: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Llegadas a Arusha todos los martes (Superior) y jueves (Classic) del 2025.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programa también se puede operar en la siguiente manera: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2: Manyara o Tarangire;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Días 3 y 4: Ngorongoro. En estos casos, se realizará el almuerzo en el lodge de Manyara / Tarangire.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organizador en destino se reserva el derecho de cambiar el sentido del itinerario, sin embargo, cuando sea posible, intentaremos confirmar la reserva como está reflejada en el itinerario.</w:t>
      </w:r>
    </w:p>
    <w:p w:rsidR="00000000" w:rsidDel="00000000" w:rsidP="00000000" w:rsidRDefault="00000000" w:rsidRPr="00000000" w14:paraId="000000A9">
      <w:pPr>
        <w:rPr>
          <w:rFonts w:ascii="Arial Narrow" w:cs="Arial Narrow" w:eastAsia="Arial Narrow" w:hAnsi="Arial Narrow"/>
          <w:b w:val="1"/>
        </w:rPr>
      </w:pPr>
      <w:bookmarkStart w:colFirst="0" w:colLast="0" w:name="_heading=h.2to7b76fj5j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Lora Medium" w:cs="Lora Medium" w:eastAsia="Lora Medium" w:hAnsi="Lora Medium"/>
          <w:color w:val="e36c09"/>
          <w:sz w:val="32"/>
          <w:szCs w:val="32"/>
        </w:rPr>
      </w:pPr>
      <w:bookmarkStart w:colFirst="0" w:colLast="0" w:name="_heading=h.fk7xne53c0d7" w:id="2"/>
      <w:bookmarkEnd w:id="2"/>
      <w:r w:rsidDel="00000000" w:rsidR="00000000" w:rsidRPr="00000000">
        <w:rPr>
          <w:rFonts w:ascii="Lora Medium" w:cs="Lora Medium" w:eastAsia="Lora Medium" w:hAnsi="Lora Medium"/>
          <w:b w:val="1"/>
          <w:color w:val="e36c09"/>
          <w:sz w:val="32"/>
          <w:szCs w:val="32"/>
          <w:rtl w:val="0"/>
        </w:rPr>
        <w:t xml:space="preserve">PRECIOS Y DISPONIBILIDAD SUJETOS A CAMBIO HASTA EL MOMENTO DE LA CONFIRMACIÓN DE LOS SERVICIOS. FAVOR DE CONSULTAR TÉRMINOS Y CONDICIONES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VAGRundschriftDLig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VAGRundschriftDLig" w:cs="VAGRundschriftDLig" w:eastAsia="VAGRundschriftDLig" w:hAnsi="VAGRundschriftDLig"/>
      <w:b w:val="1"/>
      <w:color w:val="4f81bd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4640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4640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70DC6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inespaciado">
    <w:name w:val="No Spacing"/>
    <w:uiPriority w:val="1"/>
    <w:qFormat w:val="1"/>
    <w:rsid w:val="00A63AD7"/>
    <w:pPr>
      <w:spacing w:after="0" w:line="240" w:lineRule="auto"/>
    </w:pPr>
    <w:rPr>
      <w:rFonts w:ascii="Calibri" w:cs="Times New Roman" w:eastAsia="Calibri" w:hAnsi="Calibri"/>
      <w:sz w:val="24"/>
      <w:szCs w:val="24"/>
    </w:rPr>
  </w:style>
  <w:style w:type="character" w:styleId="TtuloCar" w:customStyle="1">
    <w:name w:val="Título Car"/>
    <w:aliases w:val="Ref Car"/>
    <w:basedOn w:val="Fuentedeprrafopredeter"/>
    <w:link w:val="Ttulo"/>
    <w:uiPriority w:val="10"/>
    <w:rsid w:val="00A54EC7"/>
    <w:rPr>
      <w:rFonts w:ascii="VAGRundschriftDLig" w:hAnsi="VAGRundschriftDLig" w:cstheme="majorBidi" w:eastAsiaTheme="majorEastAsia"/>
      <w:b w:val="1"/>
      <w:color w:val="4f81bd" w:themeColor="accent1"/>
      <w:spacing w:val="10"/>
      <w:kern w:val="28"/>
      <w:sz w:val="24"/>
      <w:szCs w:val="56"/>
      <w:lang w:eastAsia="ar-SA" w:val="es-ES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BE110E"/>
    <w:pPr>
      <w:spacing w:after="0" w:line="240" w:lineRule="auto"/>
    </w:pPr>
    <w:rPr>
      <w:rFonts w:eastAsiaTheme="minorEastAsia"/>
      <w:sz w:val="21"/>
      <w:szCs w:val="21"/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38" w:customStyle="1">
    <w:name w:val="Σώμα κειμένου (3) + 8 στ."/>
    <w:aliases w:val="Χωρίς έντονη γραφή,Σώμα κειμένου (2) + 8 στ."/>
    <w:rsid w:val="00C24636"/>
    <w:rPr>
      <w:rFonts w:ascii="Arial Narrow" w:cs="Arial Narrow" w:hAnsi="Arial Narrow"/>
      <w:spacing w:val="0"/>
      <w:sz w:val="16"/>
      <w:szCs w:val="16"/>
    </w:rPr>
  </w:style>
  <w:style w:type="character" w:styleId="4" w:customStyle="1">
    <w:name w:val="Σώμα κειμένου (4)"/>
    <w:uiPriority w:val="99"/>
    <w:rsid w:val="00C24636"/>
    <w:rPr>
      <w:rFonts w:ascii="Arial Narrow" w:cs="Arial Narrow" w:hAnsi="Arial Narrow"/>
      <w:sz w:val="16"/>
      <w:szCs w:val="16"/>
      <w:shd w:color="auto" w:fill="ffffff" w:val="clear"/>
    </w:rPr>
  </w:style>
  <w:style w:type="character" w:styleId="a" w:customStyle="1">
    <w:name w:val="Σώμα κειμένου"/>
    <w:rsid w:val="00A47D2A"/>
    <w:rPr>
      <w:rFonts w:ascii="Arial Narrow" w:cs="Arial Narrow" w:hAnsi="Arial Narrow" w:hint="default"/>
      <w:sz w:val="16"/>
      <w:szCs w:val="16"/>
      <w:shd w:color="auto" w:fill="ffffff" w:val="clear"/>
    </w:rPr>
  </w:style>
  <w:style w:type="character" w:styleId="6" w:customStyle="1">
    <w:name w:val="Σώμα κειμένου (6)"/>
    <w:rsid w:val="0048258F"/>
    <w:rPr>
      <w:rFonts w:ascii="Arial Narrow" w:cs="Arial Narrow" w:hAnsi="Arial Narrow"/>
      <w:b w:val="1"/>
      <w:bCs w:val="1"/>
      <w:sz w:val="14"/>
      <w:szCs w:val="14"/>
      <w:shd w:color="auto" w:fill="ffffff" w:val="clear"/>
    </w:rPr>
  </w:style>
  <w:style w:type="table" w:styleId="GridTable4Accent6" w:customStyle="1">
    <w:name w:val="Grid Table 4 Accent 6"/>
    <w:basedOn w:val="Tablanormal"/>
    <w:uiPriority w:val="49"/>
    <w:rsid w:val="00C17852"/>
    <w:pPr>
      <w:spacing w:after="0" w:line="240" w:lineRule="auto"/>
    </w:pPr>
    <w:tblPr>
      <w:tblStyleRowBandSize w:val="1"/>
      <w:tblStyleColBandSize w:val="1"/>
      <w:tblInd w:w="0.0" w:type="dxa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5DarkAccent6" w:customStyle="1">
    <w:name w:val="Grid Table 5 Dark Accent 6"/>
    <w:basedOn w:val="Tablanormal"/>
    <w:uiPriority w:val="50"/>
    <w:rsid w:val="003F498C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d4b4" w:themeFill="accent6" w:themeFillTint="000066" w:val="clear"/>
      </w:tcPr>
    </w:tblStylePr>
  </w:style>
  <w:style w:type="table" w:styleId="GridTable6ColorfulAccent5" w:customStyle="1">
    <w:name w:val="Grid Table 6 Colorful Accent 5"/>
    <w:basedOn w:val="Tablanormal"/>
    <w:uiPriority w:val="51"/>
    <w:rsid w:val="003F498C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7964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nm/mtIo3Kv+uH2wtEiKv4mrNQ==">CgMxLjAyDmgubm5qYjFjM2NneXQzMg5oLjJ0bzdiNzZmajVqMTIOaC5mazd4bmU1M2MwZDc4AHIhMXFuRTAwWnZkTFNlSGhwWmxkOXdTMU9RZUthVGdoYU1v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2025-08-05T19:43:00Z</dcterms:created>
  <dc:creator>Alicia Diaz</dc:creator>
</cp:coreProperties>
</file>