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E8936" w14:textId="77777777" w:rsidR="00B35B6B" w:rsidRPr="00B35B6B" w:rsidRDefault="00B35B6B" w:rsidP="00944F21">
      <w:pPr>
        <w:jc w:val="center"/>
        <w:rPr>
          <w:rFonts w:ascii="Lora Medium" w:hAnsi="Lora Medium"/>
          <w:b/>
          <w:color w:val="E36C0A" w:themeColor="accent6" w:themeShade="BF"/>
          <w:sz w:val="52"/>
          <w:szCs w:val="52"/>
        </w:rPr>
      </w:pPr>
      <w:r w:rsidRPr="00B35B6B">
        <w:rPr>
          <w:rFonts w:ascii="Lora Medium" w:hAnsi="Lora Medium"/>
          <w:b/>
          <w:color w:val="E36C0A" w:themeColor="accent6" w:themeShade="BF"/>
          <w:sz w:val="52"/>
          <w:szCs w:val="52"/>
        </w:rPr>
        <w:t>CAPITALES COSMOPOLITAS</w:t>
      </w:r>
    </w:p>
    <w:p w14:paraId="7BE51B7D" w14:textId="7403511F" w:rsidR="00D4640C" w:rsidRPr="002416BF" w:rsidRDefault="001D77CF" w:rsidP="00944F21">
      <w:pPr>
        <w:jc w:val="center"/>
        <w:rPr>
          <w:rFonts w:ascii="Arial Narrow" w:hAnsi="Arial Narrow"/>
          <w:b/>
          <w:color w:val="E36C0A" w:themeColor="accent6" w:themeShade="BF"/>
        </w:rPr>
      </w:pP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8</w:t>
      </w:r>
      <w:r w:rsidR="002416BF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</w:t>
      </w:r>
      <w:r w:rsidR="003021B2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DIAS / </w:t>
      </w:r>
      <w:r>
        <w:rPr>
          <w:rFonts w:ascii="Arial Narrow" w:hAnsi="Arial Narrow"/>
          <w:b/>
          <w:color w:val="E36C0A" w:themeColor="accent6" w:themeShade="BF"/>
          <w:sz w:val="28"/>
          <w:szCs w:val="28"/>
        </w:rPr>
        <w:t>7</w:t>
      </w:r>
      <w:r w:rsidR="00DA189E" w:rsidRPr="00A150DB">
        <w:rPr>
          <w:rFonts w:ascii="Arial Narrow" w:hAnsi="Arial Narrow"/>
          <w:b/>
          <w:color w:val="E36C0A" w:themeColor="accent6" w:themeShade="BF"/>
          <w:sz w:val="28"/>
          <w:szCs w:val="28"/>
        </w:rPr>
        <w:t xml:space="preserve"> NOCHES</w:t>
      </w:r>
    </w:p>
    <w:p w14:paraId="539161EA" w14:textId="77777777" w:rsidR="003D57C0" w:rsidRPr="003D57C0" w:rsidRDefault="003D57C0" w:rsidP="003D57C0">
      <w:pPr>
        <w:rPr>
          <w:rFonts w:ascii="Arial Narrow" w:hAnsi="Arial Narrow"/>
        </w:rPr>
      </w:pPr>
    </w:p>
    <w:p w14:paraId="0CB87912" w14:textId="77777777" w:rsidR="00B35B6B" w:rsidRPr="002450DC" w:rsidRDefault="00B35B6B" w:rsidP="00B35B6B">
      <w:pPr>
        <w:jc w:val="both"/>
        <w:rPr>
          <w:rFonts w:ascii="Arial Narrow" w:hAnsi="Arial Narrow"/>
          <w:b/>
          <w:bCs/>
        </w:rPr>
      </w:pPr>
      <w:r w:rsidRPr="002450DC">
        <w:rPr>
          <w:rFonts w:ascii="Arial Narrow" w:hAnsi="Arial Narrow"/>
          <w:b/>
          <w:bCs/>
          <w:color w:val="E36C0A" w:themeColor="accent6" w:themeShade="BF"/>
        </w:rPr>
        <w:t>DÍA 1 (SÁBADO) / CIUDAD DE ORIGNE – LONDRES</w:t>
      </w:r>
    </w:p>
    <w:p w14:paraId="1C0950AD" w14:textId="77777777" w:rsidR="00B35B6B" w:rsidRPr="002450DC" w:rsidRDefault="00B35B6B" w:rsidP="00B35B6B">
      <w:pPr>
        <w:jc w:val="both"/>
        <w:rPr>
          <w:rFonts w:ascii="Arial Narrow" w:hAnsi="Arial Narrow"/>
          <w:bCs/>
        </w:rPr>
      </w:pPr>
      <w:r w:rsidRPr="002450DC">
        <w:rPr>
          <w:rFonts w:ascii="Arial Narrow" w:hAnsi="Arial Narrow"/>
          <w:bCs/>
        </w:rPr>
        <w:t>Salida en vuelo intercon</w:t>
      </w:r>
      <w:r>
        <w:rPr>
          <w:rFonts w:ascii="Arial Narrow" w:hAnsi="Arial Narrow"/>
          <w:bCs/>
        </w:rPr>
        <w:t xml:space="preserve">tinental hacia Londres. Noche a </w:t>
      </w:r>
      <w:r w:rsidRPr="002450DC">
        <w:rPr>
          <w:rFonts w:ascii="Arial Narrow" w:hAnsi="Arial Narrow"/>
          <w:bCs/>
        </w:rPr>
        <w:t>bordo.</w:t>
      </w:r>
    </w:p>
    <w:p w14:paraId="2C68CBF9" w14:textId="77777777" w:rsidR="00B35B6B" w:rsidRDefault="00B35B6B" w:rsidP="00B35B6B">
      <w:pPr>
        <w:jc w:val="both"/>
        <w:rPr>
          <w:rFonts w:ascii="Arial Narrow" w:hAnsi="Arial Narrow"/>
          <w:bCs/>
        </w:rPr>
      </w:pPr>
    </w:p>
    <w:p w14:paraId="4B65E21A" w14:textId="77777777" w:rsidR="00B35B6B" w:rsidRPr="002450DC" w:rsidRDefault="00B35B6B" w:rsidP="00B35B6B">
      <w:pPr>
        <w:jc w:val="both"/>
        <w:rPr>
          <w:rFonts w:ascii="Arial Narrow" w:hAnsi="Arial Narrow"/>
          <w:b/>
          <w:bCs/>
        </w:rPr>
      </w:pPr>
      <w:r w:rsidRPr="002450DC">
        <w:rPr>
          <w:rFonts w:ascii="Arial Narrow" w:hAnsi="Arial Narrow"/>
          <w:b/>
          <w:bCs/>
          <w:color w:val="E36C0A" w:themeColor="accent6" w:themeShade="BF"/>
        </w:rPr>
        <w:t>DÍA 2 (DOMINGO) / LONDRES</w:t>
      </w:r>
    </w:p>
    <w:p w14:paraId="1E9FE6B3" w14:textId="77777777" w:rsidR="00B35B6B" w:rsidRDefault="00B35B6B" w:rsidP="00B35B6B">
      <w:pPr>
        <w:jc w:val="both"/>
        <w:rPr>
          <w:rFonts w:ascii="Arial Narrow" w:hAnsi="Arial Narrow"/>
          <w:bCs/>
        </w:rPr>
      </w:pPr>
      <w:r w:rsidRPr="002450DC">
        <w:rPr>
          <w:rFonts w:ascii="Arial Narrow" w:hAnsi="Arial Narrow"/>
          <w:bCs/>
        </w:rPr>
        <w:t>Llegada al aeropuerto inte</w:t>
      </w:r>
      <w:r>
        <w:rPr>
          <w:rFonts w:ascii="Arial Narrow" w:hAnsi="Arial Narrow"/>
          <w:bCs/>
        </w:rPr>
        <w:t>rnacional de Londres (Heathrow, Gatwick, Luton</w:t>
      </w:r>
      <w:r w:rsidRPr="002450DC">
        <w:rPr>
          <w:rFonts w:ascii="Arial Narrow" w:hAnsi="Arial Narrow"/>
          <w:bCs/>
        </w:rPr>
        <w:t xml:space="preserve">). Asistencia </w:t>
      </w:r>
      <w:r>
        <w:rPr>
          <w:rFonts w:ascii="Arial Narrow" w:hAnsi="Arial Narrow"/>
          <w:bCs/>
        </w:rPr>
        <w:t>y traslado al hotel. Resto del día libre. Alojamiento en el hotel.</w:t>
      </w:r>
    </w:p>
    <w:p w14:paraId="7762200A" w14:textId="77777777" w:rsidR="00B35B6B" w:rsidRDefault="00B35B6B" w:rsidP="00B35B6B">
      <w:pPr>
        <w:jc w:val="both"/>
        <w:rPr>
          <w:rFonts w:ascii="Arial Narrow" w:hAnsi="Arial Narrow"/>
          <w:bCs/>
        </w:rPr>
      </w:pPr>
    </w:p>
    <w:p w14:paraId="0A74169F" w14:textId="77777777" w:rsidR="00B35B6B" w:rsidRPr="002450DC" w:rsidRDefault="00B35B6B" w:rsidP="00B35B6B">
      <w:pPr>
        <w:jc w:val="both"/>
        <w:rPr>
          <w:rFonts w:ascii="Arial Narrow" w:hAnsi="Arial Narrow"/>
          <w:b/>
          <w:bCs/>
        </w:rPr>
      </w:pPr>
      <w:r w:rsidRPr="002450DC">
        <w:rPr>
          <w:rFonts w:ascii="Arial Narrow" w:hAnsi="Arial Narrow"/>
          <w:b/>
          <w:bCs/>
          <w:color w:val="E36C0A" w:themeColor="accent6" w:themeShade="BF"/>
        </w:rPr>
        <w:t>DÍA 3 (LUNES) / LONDRES</w:t>
      </w:r>
    </w:p>
    <w:p w14:paraId="22949653" w14:textId="77777777" w:rsidR="00B35B6B" w:rsidRPr="002450DC" w:rsidRDefault="00B35B6B" w:rsidP="00B35B6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</w:t>
      </w:r>
      <w:r w:rsidRPr="002450DC">
        <w:rPr>
          <w:rFonts w:ascii="Arial Narrow" w:hAnsi="Arial Narrow"/>
          <w:bCs/>
        </w:rPr>
        <w:t>esayuno</w:t>
      </w:r>
      <w:r>
        <w:rPr>
          <w:rFonts w:ascii="Arial Narrow" w:hAnsi="Arial Narrow"/>
          <w:bCs/>
        </w:rPr>
        <w:t xml:space="preserve"> en el hotel</w:t>
      </w:r>
      <w:r w:rsidRPr="002450DC">
        <w:rPr>
          <w:rFonts w:ascii="Arial Narrow" w:hAnsi="Arial Narrow"/>
          <w:bCs/>
        </w:rPr>
        <w:t>. Por la mañana</w:t>
      </w:r>
      <w:r>
        <w:rPr>
          <w:rFonts w:ascii="Arial Narrow" w:hAnsi="Arial Narrow"/>
          <w:bCs/>
        </w:rPr>
        <w:t xml:space="preserve">, visita panorámica </w:t>
      </w:r>
      <w:r w:rsidRPr="002450DC">
        <w:rPr>
          <w:rFonts w:ascii="Arial Narrow" w:hAnsi="Arial Narrow"/>
          <w:bCs/>
        </w:rPr>
        <w:t>de esta ciudad cosmopolita pa</w:t>
      </w:r>
      <w:r>
        <w:rPr>
          <w:rFonts w:ascii="Arial Narrow" w:hAnsi="Arial Narrow"/>
          <w:bCs/>
        </w:rPr>
        <w:t xml:space="preserve">ra conocer los lugares de mayor </w:t>
      </w:r>
      <w:r w:rsidRPr="002450DC">
        <w:rPr>
          <w:rFonts w:ascii="Arial Narrow" w:hAnsi="Arial Narrow"/>
          <w:bCs/>
        </w:rPr>
        <w:t xml:space="preserve">interés como las Casas del </w:t>
      </w:r>
      <w:r>
        <w:rPr>
          <w:rFonts w:ascii="Arial Narrow" w:hAnsi="Arial Narrow"/>
          <w:bCs/>
        </w:rPr>
        <w:t xml:space="preserve">Parlamento y el Big-Ben, Abadía de Westminster, </w:t>
      </w:r>
      <w:r w:rsidRPr="002450DC">
        <w:rPr>
          <w:rFonts w:ascii="Arial Narrow" w:hAnsi="Arial Narrow"/>
          <w:bCs/>
        </w:rPr>
        <w:t>Plaza de Trafa</w:t>
      </w:r>
      <w:r>
        <w:rPr>
          <w:rFonts w:ascii="Arial Narrow" w:hAnsi="Arial Narrow"/>
          <w:bCs/>
        </w:rPr>
        <w:t xml:space="preserve">lgar, Picadilly Circus, Palacio </w:t>
      </w:r>
      <w:r w:rsidRPr="002450DC">
        <w:rPr>
          <w:rFonts w:ascii="Arial Narrow" w:hAnsi="Arial Narrow"/>
          <w:bCs/>
        </w:rPr>
        <w:t xml:space="preserve">de Buckingham con el cambio </w:t>
      </w:r>
      <w:r>
        <w:rPr>
          <w:rFonts w:ascii="Arial Narrow" w:hAnsi="Arial Narrow"/>
          <w:bCs/>
        </w:rPr>
        <w:t xml:space="preserve">de la Guardia Real si el tiempo </w:t>
      </w:r>
      <w:r w:rsidRPr="002450DC">
        <w:rPr>
          <w:rFonts w:ascii="Arial Narrow" w:hAnsi="Arial Narrow"/>
          <w:bCs/>
        </w:rPr>
        <w:t>lo p</w:t>
      </w:r>
      <w:r>
        <w:rPr>
          <w:rFonts w:ascii="Arial Narrow" w:hAnsi="Arial Narrow"/>
          <w:bCs/>
        </w:rPr>
        <w:t xml:space="preserve">ermite. Resto del día libre. Le recomendamos efectuar </w:t>
      </w:r>
      <w:r w:rsidRPr="002450DC">
        <w:rPr>
          <w:rFonts w:ascii="Arial Narrow" w:hAnsi="Arial Narrow"/>
          <w:bCs/>
        </w:rPr>
        <w:t xml:space="preserve">una excursión opcional para </w:t>
      </w:r>
      <w:r>
        <w:rPr>
          <w:rFonts w:ascii="Arial Narrow" w:hAnsi="Arial Narrow"/>
          <w:bCs/>
        </w:rPr>
        <w:t xml:space="preserve">conocer el Castillo de Windsor, </w:t>
      </w:r>
      <w:r w:rsidRPr="002450DC">
        <w:rPr>
          <w:rFonts w:ascii="Arial Narrow" w:hAnsi="Arial Narrow"/>
          <w:bCs/>
        </w:rPr>
        <w:t>considerado como la mayor</w:t>
      </w:r>
      <w:r>
        <w:rPr>
          <w:rFonts w:ascii="Arial Narrow" w:hAnsi="Arial Narrow"/>
          <w:bCs/>
        </w:rPr>
        <w:t xml:space="preserve"> fortaleza habitada del mundo y </w:t>
      </w:r>
      <w:r w:rsidRPr="002450DC">
        <w:rPr>
          <w:rFonts w:ascii="Arial Narrow" w:hAnsi="Arial Narrow"/>
          <w:bCs/>
        </w:rPr>
        <w:t xml:space="preserve">foco histórico de Inglaterra, situado a </w:t>
      </w:r>
      <w:r>
        <w:rPr>
          <w:rFonts w:ascii="Arial Narrow" w:hAnsi="Arial Narrow"/>
          <w:bCs/>
        </w:rPr>
        <w:t xml:space="preserve">50 km de la capital. </w:t>
      </w:r>
      <w:r w:rsidRPr="002450DC">
        <w:rPr>
          <w:rFonts w:ascii="Arial Narrow" w:hAnsi="Arial Narrow"/>
          <w:bCs/>
        </w:rPr>
        <w:t>Regresando a la ciudad visitar su parte más antigua, destruida en el incendio de 1</w:t>
      </w:r>
      <w:r>
        <w:rPr>
          <w:rFonts w:ascii="Arial Narrow" w:hAnsi="Arial Narrow"/>
          <w:bCs/>
        </w:rPr>
        <w:t xml:space="preserve">,666, para conocer la ciudad de Londres, </w:t>
      </w:r>
      <w:r w:rsidRPr="002450DC">
        <w:rPr>
          <w:rFonts w:ascii="Arial Narrow" w:hAnsi="Arial Narrow"/>
          <w:bCs/>
        </w:rPr>
        <w:t>centro financiero mundial, C</w:t>
      </w:r>
      <w:r>
        <w:rPr>
          <w:rFonts w:ascii="Arial Narrow" w:hAnsi="Arial Narrow"/>
          <w:bCs/>
        </w:rPr>
        <w:t xml:space="preserve">atedral de San Pablo, el famoso </w:t>
      </w:r>
      <w:r w:rsidRPr="002450DC">
        <w:rPr>
          <w:rFonts w:ascii="Arial Narrow" w:hAnsi="Arial Narrow"/>
          <w:bCs/>
        </w:rPr>
        <w:t>Puente de la Torre, y la fortaleza más antigua de Ingla</w:t>
      </w:r>
      <w:r>
        <w:rPr>
          <w:rFonts w:ascii="Arial Narrow" w:hAnsi="Arial Narrow"/>
          <w:bCs/>
        </w:rPr>
        <w:t xml:space="preserve">terra: la </w:t>
      </w:r>
      <w:r w:rsidRPr="002450DC">
        <w:rPr>
          <w:rFonts w:ascii="Arial Narrow" w:hAnsi="Arial Narrow"/>
          <w:bCs/>
        </w:rPr>
        <w:t>Torre de Londres.</w:t>
      </w:r>
      <w:r>
        <w:rPr>
          <w:rFonts w:ascii="Arial Narrow" w:hAnsi="Arial Narrow"/>
          <w:bCs/>
        </w:rPr>
        <w:t xml:space="preserve"> Alojamiento en el hotel.</w:t>
      </w:r>
    </w:p>
    <w:p w14:paraId="3957A959" w14:textId="77777777" w:rsidR="00B35B6B" w:rsidRDefault="00B35B6B" w:rsidP="00B35B6B">
      <w:pPr>
        <w:jc w:val="both"/>
        <w:rPr>
          <w:rFonts w:ascii="Arial Narrow" w:hAnsi="Arial Narrow"/>
          <w:bCs/>
        </w:rPr>
      </w:pPr>
    </w:p>
    <w:p w14:paraId="730881D6" w14:textId="77777777" w:rsidR="00B35B6B" w:rsidRPr="002450DC" w:rsidRDefault="00B35B6B" w:rsidP="00B35B6B">
      <w:pPr>
        <w:jc w:val="both"/>
        <w:rPr>
          <w:rFonts w:ascii="Arial Narrow" w:hAnsi="Arial Narrow"/>
          <w:b/>
          <w:bCs/>
        </w:rPr>
      </w:pPr>
      <w:r w:rsidRPr="002450DC">
        <w:rPr>
          <w:rFonts w:ascii="Arial Narrow" w:hAnsi="Arial Narrow"/>
          <w:b/>
          <w:bCs/>
          <w:color w:val="E36C0A" w:themeColor="accent6" w:themeShade="BF"/>
        </w:rPr>
        <w:t>DÍA 4 (MARTES) / LONDRES</w:t>
      </w:r>
    </w:p>
    <w:p w14:paraId="2869EC06" w14:textId="77777777" w:rsidR="00B35B6B" w:rsidRPr="002450DC" w:rsidRDefault="00B35B6B" w:rsidP="00B35B6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</w:t>
      </w:r>
      <w:r w:rsidRPr="002450DC">
        <w:rPr>
          <w:rFonts w:ascii="Arial Narrow" w:hAnsi="Arial Narrow"/>
          <w:bCs/>
        </w:rPr>
        <w:t>esayuno</w:t>
      </w:r>
      <w:r>
        <w:rPr>
          <w:rFonts w:ascii="Arial Narrow" w:hAnsi="Arial Narrow"/>
          <w:bCs/>
        </w:rPr>
        <w:t xml:space="preserve"> en el hotel</w:t>
      </w:r>
      <w:r w:rsidRPr="002450DC">
        <w:rPr>
          <w:rFonts w:ascii="Arial Narrow" w:hAnsi="Arial Narrow"/>
          <w:bCs/>
        </w:rPr>
        <w:t>. Día lib</w:t>
      </w:r>
      <w:r>
        <w:rPr>
          <w:rFonts w:ascii="Arial Narrow" w:hAnsi="Arial Narrow"/>
          <w:bCs/>
        </w:rPr>
        <w:t xml:space="preserve">re para actividades personales, </w:t>
      </w:r>
      <w:r w:rsidRPr="002450DC">
        <w:rPr>
          <w:rFonts w:ascii="Arial Narrow" w:hAnsi="Arial Narrow"/>
          <w:bCs/>
        </w:rPr>
        <w:t>para seguir conociendo una de</w:t>
      </w:r>
      <w:r>
        <w:rPr>
          <w:rFonts w:ascii="Arial Narrow" w:hAnsi="Arial Narrow"/>
          <w:bCs/>
        </w:rPr>
        <w:t xml:space="preserve"> las capitales más animadas del </w:t>
      </w:r>
      <w:r w:rsidRPr="002450DC">
        <w:rPr>
          <w:rFonts w:ascii="Arial Narrow" w:hAnsi="Arial Narrow"/>
          <w:bCs/>
        </w:rPr>
        <w:t>mundo, realizar compras en s</w:t>
      </w:r>
      <w:r>
        <w:rPr>
          <w:rFonts w:ascii="Arial Narrow" w:hAnsi="Arial Narrow"/>
          <w:bCs/>
        </w:rPr>
        <w:t xml:space="preserve">us afamados comercios o visitar </w:t>
      </w:r>
      <w:r w:rsidRPr="002450DC">
        <w:rPr>
          <w:rFonts w:ascii="Arial Narrow" w:hAnsi="Arial Narrow"/>
          <w:bCs/>
        </w:rPr>
        <w:t>algunos de sus museos.</w:t>
      </w:r>
      <w:r>
        <w:rPr>
          <w:rFonts w:ascii="Arial Narrow" w:hAnsi="Arial Narrow"/>
          <w:bCs/>
        </w:rPr>
        <w:t xml:space="preserve"> Alojamiento en el hotel.</w:t>
      </w:r>
    </w:p>
    <w:p w14:paraId="029070A2" w14:textId="77777777" w:rsidR="00B35B6B" w:rsidRPr="002450DC" w:rsidRDefault="00B35B6B" w:rsidP="00B35B6B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br/>
      </w:r>
      <w:r w:rsidRPr="002450DC">
        <w:rPr>
          <w:rFonts w:ascii="Arial Narrow" w:hAnsi="Arial Narrow"/>
          <w:b/>
          <w:bCs/>
          <w:color w:val="E36C0A" w:themeColor="accent6" w:themeShade="BF"/>
        </w:rPr>
        <w:t>DÍA 5 (MIÉRCOLES) / LONDRES – DOVER – CALAIS – PARÍS (405 km)</w:t>
      </w:r>
    </w:p>
    <w:p w14:paraId="7A3DB124" w14:textId="77777777" w:rsidR="00B35B6B" w:rsidRDefault="00B35B6B" w:rsidP="00B35B6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Desayuno en el hotel. S</w:t>
      </w:r>
      <w:r w:rsidRPr="002450DC">
        <w:rPr>
          <w:rFonts w:ascii="Arial Narrow" w:hAnsi="Arial Narrow"/>
          <w:bCs/>
        </w:rPr>
        <w:t>alida hacia Dover</w:t>
      </w:r>
      <w:r>
        <w:rPr>
          <w:rFonts w:ascii="Arial Narrow" w:hAnsi="Arial Narrow"/>
          <w:bCs/>
        </w:rPr>
        <w:t xml:space="preserve"> para abordar el ferry y cruzar </w:t>
      </w:r>
      <w:r w:rsidRPr="002450DC">
        <w:rPr>
          <w:rFonts w:ascii="Arial Narrow" w:hAnsi="Arial Narrow"/>
          <w:bCs/>
        </w:rPr>
        <w:t>el Canal de la Mancha hacia C</w:t>
      </w:r>
      <w:r>
        <w:rPr>
          <w:rFonts w:ascii="Arial Narrow" w:hAnsi="Arial Narrow"/>
          <w:bCs/>
        </w:rPr>
        <w:t xml:space="preserve">alais, ya en territorio francés </w:t>
      </w:r>
      <w:r w:rsidRPr="002450DC">
        <w:rPr>
          <w:rFonts w:ascii="Arial Narrow" w:hAnsi="Arial Narrow"/>
          <w:bCs/>
        </w:rPr>
        <w:t>continuaremos en nuestro autobús hacia París. Alojamiento</w:t>
      </w:r>
      <w:r>
        <w:rPr>
          <w:rFonts w:ascii="Arial Narrow" w:hAnsi="Arial Narrow"/>
          <w:bCs/>
        </w:rPr>
        <w:t xml:space="preserve"> en el hotel</w:t>
      </w:r>
      <w:r w:rsidRPr="002450DC">
        <w:rPr>
          <w:rFonts w:ascii="Arial Narrow" w:hAnsi="Arial Narrow"/>
          <w:bCs/>
        </w:rPr>
        <w:t xml:space="preserve">. Posibilidad de realizar </w:t>
      </w:r>
      <w:r w:rsidRPr="00944F21">
        <w:rPr>
          <w:rFonts w:ascii="Arial Narrow" w:hAnsi="Arial Narrow"/>
          <w:bCs/>
          <w:i/>
          <w:iCs/>
        </w:rPr>
        <w:t>opcionalmente</w:t>
      </w:r>
      <w:r>
        <w:rPr>
          <w:rFonts w:ascii="Arial Narrow" w:hAnsi="Arial Narrow"/>
          <w:bCs/>
        </w:rPr>
        <w:t xml:space="preserve"> una visita de “París </w:t>
      </w:r>
      <w:r w:rsidRPr="002450DC">
        <w:rPr>
          <w:rFonts w:ascii="Arial Narrow" w:hAnsi="Arial Narrow"/>
          <w:bCs/>
        </w:rPr>
        <w:t>iluminado” y un crucero por el Sena.</w:t>
      </w:r>
    </w:p>
    <w:p w14:paraId="2BC1BE6C" w14:textId="77777777" w:rsidR="00B35B6B" w:rsidRDefault="00B35B6B" w:rsidP="00B35B6B">
      <w:pPr>
        <w:jc w:val="both"/>
        <w:rPr>
          <w:rFonts w:ascii="Arial Narrow" w:hAnsi="Arial Narrow"/>
          <w:bCs/>
        </w:rPr>
      </w:pPr>
    </w:p>
    <w:p w14:paraId="42B307E1" w14:textId="77777777" w:rsidR="00B35B6B" w:rsidRPr="00512B76" w:rsidRDefault="00B35B6B" w:rsidP="00B35B6B">
      <w:pPr>
        <w:jc w:val="both"/>
        <w:rPr>
          <w:rFonts w:ascii="Arial Narrow" w:hAnsi="Arial Narrow"/>
          <w:b/>
          <w:bCs/>
        </w:rPr>
      </w:pPr>
      <w:r w:rsidRPr="00512B76">
        <w:rPr>
          <w:rFonts w:ascii="Arial Narrow" w:hAnsi="Arial Narrow"/>
          <w:b/>
          <w:bCs/>
          <w:color w:val="E36C0A" w:themeColor="accent6" w:themeShade="BF"/>
        </w:rPr>
        <w:t>DÍA 6 (JUEVES) / PARÍS</w:t>
      </w:r>
    </w:p>
    <w:p w14:paraId="694229FD" w14:textId="77777777" w:rsidR="00B35B6B" w:rsidRPr="002450DC" w:rsidRDefault="00B35B6B" w:rsidP="00B35B6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</w:t>
      </w:r>
      <w:r w:rsidRPr="002450DC">
        <w:rPr>
          <w:rFonts w:ascii="Arial Narrow" w:hAnsi="Arial Narrow"/>
          <w:bCs/>
        </w:rPr>
        <w:t>esayuno</w:t>
      </w:r>
      <w:r>
        <w:rPr>
          <w:rFonts w:ascii="Arial Narrow" w:hAnsi="Arial Narrow"/>
          <w:bCs/>
        </w:rPr>
        <w:t xml:space="preserve"> en el hotel</w:t>
      </w:r>
      <w:r w:rsidRPr="002450DC">
        <w:rPr>
          <w:rFonts w:ascii="Arial Narrow" w:hAnsi="Arial Narrow"/>
          <w:bCs/>
        </w:rPr>
        <w:t>. Por la mañana</w:t>
      </w:r>
      <w:r>
        <w:rPr>
          <w:rFonts w:ascii="Arial Narrow" w:hAnsi="Arial Narrow"/>
          <w:bCs/>
        </w:rPr>
        <w:t xml:space="preserve">, visita panorámica </w:t>
      </w:r>
      <w:r w:rsidRPr="002450DC">
        <w:rPr>
          <w:rFonts w:ascii="Arial Narrow" w:hAnsi="Arial Narrow"/>
          <w:bCs/>
        </w:rPr>
        <w:t>de la Ciudad Luz para conocer sus lugares más emblemáticos como la Place de la Con</w:t>
      </w:r>
      <w:r>
        <w:rPr>
          <w:rFonts w:ascii="Arial Narrow" w:hAnsi="Arial Narrow"/>
          <w:bCs/>
        </w:rPr>
        <w:t xml:space="preserve">corde, Arco del Triunfo, Campos Elíseos, Isla de la </w:t>
      </w:r>
      <w:r w:rsidRPr="002450DC">
        <w:rPr>
          <w:rFonts w:ascii="Arial Narrow" w:hAnsi="Arial Narrow"/>
          <w:bCs/>
        </w:rPr>
        <w:t xml:space="preserve">Ciudad con la imponente Iglesia </w:t>
      </w:r>
      <w:r>
        <w:rPr>
          <w:rFonts w:ascii="Arial Narrow" w:hAnsi="Arial Narrow"/>
          <w:bCs/>
        </w:rPr>
        <w:t xml:space="preserve">de Notre </w:t>
      </w:r>
      <w:r w:rsidRPr="002450DC">
        <w:rPr>
          <w:rFonts w:ascii="Arial Narrow" w:hAnsi="Arial Narrow"/>
          <w:bCs/>
        </w:rPr>
        <w:t>Dame, Palacio Nacional de l</w:t>
      </w:r>
      <w:r>
        <w:rPr>
          <w:rFonts w:ascii="Arial Narrow" w:hAnsi="Arial Narrow"/>
          <w:bCs/>
        </w:rPr>
        <w:t xml:space="preserve">os Inválidos donde se encuentra </w:t>
      </w:r>
      <w:r w:rsidRPr="002450DC">
        <w:rPr>
          <w:rFonts w:ascii="Arial Narrow" w:hAnsi="Arial Narrow"/>
          <w:bCs/>
        </w:rPr>
        <w:t>la tumba de Napoleón, co</w:t>
      </w:r>
      <w:r>
        <w:rPr>
          <w:rFonts w:ascii="Arial Narrow" w:hAnsi="Arial Narrow"/>
          <w:bCs/>
        </w:rPr>
        <w:t xml:space="preserve">n breve parada en los Campos de </w:t>
      </w:r>
      <w:r w:rsidRPr="002450DC">
        <w:rPr>
          <w:rFonts w:ascii="Arial Narrow" w:hAnsi="Arial Narrow"/>
          <w:bCs/>
        </w:rPr>
        <w:t>Marte para fotografiar la Torre Eiffel. Por la tarde, recomendamos realizar nuestra excursió</w:t>
      </w:r>
      <w:r>
        <w:rPr>
          <w:rFonts w:ascii="Arial Narrow" w:hAnsi="Arial Narrow"/>
          <w:bCs/>
        </w:rPr>
        <w:t xml:space="preserve">n opcional, visitando el barrio </w:t>
      </w:r>
      <w:r w:rsidRPr="002450DC">
        <w:rPr>
          <w:rFonts w:ascii="Arial Narrow" w:hAnsi="Arial Narrow"/>
          <w:bCs/>
        </w:rPr>
        <w:t>de Montmartre o barrio Latino.</w:t>
      </w:r>
      <w:r>
        <w:rPr>
          <w:rFonts w:ascii="Arial Narrow" w:hAnsi="Arial Narrow"/>
          <w:bCs/>
        </w:rPr>
        <w:t xml:space="preserve"> Alojamiento en el hotel.</w:t>
      </w:r>
    </w:p>
    <w:p w14:paraId="3990105C" w14:textId="77777777" w:rsidR="00B35B6B" w:rsidRDefault="00B35B6B" w:rsidP="00B35B6B">
      <w:pPr>
        <w:jc w:val="both"/>
        <w:rPr>
          <w:rFonts w:ascii="Arial Narrow" w:hAnsi="Arial Narrow"/>
          <w:bCs/>
        </w:rPr>
      </w:pPr>
    </w:p>
    <w:p w14:paraId="66D07116" w14:textId="77777777" w:rsidR="00B35B6B" w:rsidRPr="00512B76" w:rsidRDefault="00B35B6B" w:rsidP="00B35B6B">
      <w:pPr>
        <w:jc w:val="both"/>
        <w:rPr>
          <w:rFonts w:ascii="Arial Narrow" w:hAnsi="Arial Narrow"/>
          <w:b/>
          <w:bCs/>
        </w:rPr>
      </w:pPr>
      <w:r w:rsidRPr="00512B76">
        <w:rPr>
          <w:rFonts w:ascii="Arial Narrow" w:hAnsi="Arial Narrow"/>
          <w:b/>
          <w:bCs/>
          <w:color w:val="E36C0A" w:themeColor="accent6" w:themeShade="BF"/>
        </w:rPr>
        <w:t>DÍA 7 (VIERNES) / PARÍS</w:t>
      </w:r>
    </w:p>
    <w:p w14:paraId="658F5239" w14:textId="17734A88" w:rsidR="00B35B6B" w:rsidRDefault="00B35B6B" w:rsidP="00B35B6B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</w:t>
      </w:r>
      <w:r w:rsidRPr="002450DC">
        <w:rPr>
          <w:rFonts w:ascii="Arial Narrow" w:hAnsi="Arial Narrow"/>
          <w:bCs/>
        </w:rPr>
        <w:t>esayuno</w:t>
      </w:r>
      <w:r>
        <w:rPr>
          <w:rFonts w:ascii="Arial Narrow" w:hAnsi="Arial Narrow"/>
          <w:bCs/>
        </w:rPr>
        <w:t xml:space="preserve"> en el hotel. </w:t>
      </w:r>
      <w:r w:rsidRPr="002450DC">
        <w:rPr>
          <w:rFonts w:ascii="Arial Narrow" w:hAnsi="Arial Narrow"/>
          <w:bCs/>
        </w:rPr>
        <w:t>Día libre para actividades personales. Por la mañana</w:t>
      </w:r>
      <w:r>
        <w:rPr>
          <w:rFonts w:ascii="Arial Narrow" w:hAnsi="Arial Narrow"/>
          <w:bCs/>
        </w:rPr>
        <w:t>,</w:t>
      </w:r>
      <w:r w:rsidRPr="002450DC">
        <w:rPr>
          <w:rFonts w:ascii="Arial Narrow" w:hAnsi="Arial Narrow"/>
          <w:bCs/>
        </w:rPr>
        <w:t xml:space="preserve"> recomendamos realizar una </w:t>
      </w:r>
      <w:r w:rsidRPr="00944F21">
        <w:rPr>
          <w:rFonts w:ascii="Arial Narrow" w:hAnsi="Arial Narrow"/>
          <w:bCs/>
          <w:i/>
          <w:iCs/>
        </w:rPr>
        <w:t>excursión opcional</w:t>
      </w:r>
      <w:r w:rsidRPr="002450DC">
        <w:rPr>
          <w:rFonts w:ascii="Arial Narrow" w:hAnsi="Arial Narrow"/>
          <w:bCs/>
        </w:rPr>
        <w:t xml:space="preserve"> al magnífico </w:t>
      </w:r>
      <w:r>
        <w:rPr>
          <w:rFonts w:ascii="Arial Narrow" w:hAnsi="Arial Narrow"/>
          <w:bCs/>
        </w:rPr>
        <w:t xml:space="preserve">Palacio de Versalles, declarado </w:t>
      </w:r>
      <w:r w:rsidRPr="002450DC">
        <w:rPr>
          <w:rFonts w:ascii="Arial Narrow" w:hAnsi="Arial Narrow"/>
          <w:bCs/>
        </w:rPr>
        <w:t>Patrimonio de la Human</w:t>
      </w:r>
      <w:r>
        <w:rPr>
          <w:rFonts w:ascii="Arial Narrow" w:hAnsi="Arial Narrow"/>
          <w:bCs/>
        </w:rPr>
        <w:t xml:space="preserve">idad, para conocer su imponente </w:t>
      </w:r>
      <w:r w:rsidRPr="002450DC">
        <w:rPr>
          <w:rFonts w:ascii="Arial Narrow" w:hAnsi="Arial Narrow"/>
          <w:bCs/>
        </w:rPr>
        <w:t>arquitectura y sus bellos jard</w:t>
      </w:r>
      <w:r>
        <w:rPr>
          <w:rFonts w:ascii="Arial Narrow" w:hAnsi="Arial Narrow"/>
          <w:bCs/>
        </w:rPr>
        <w:t>ines</w:t>
      </w:r>
      <w:r w:rsidRPr="002450DC">
        <w:rPr>
          <w:rFonts w:ascii="Arial Narrow" w:hAnsi="Arial Narrow"/>
          <w:bCs/>
        </w:rPr>
        <w:t>.</w:t>
      </w:r>
      <w:r w:rsidR="00944F21">
        <w:rPr>
          <w:rFonts w:ascii="Arial Narrow" w:hAnsi="Arial Narrow"/>
          <w:bCs/>
        </w:rPr>
        <w:t xml:space="preserve"> </w:t>
      </w:r>
      <w:r w:rsidRPr="002450DC">
        <w:rPr>
          <w:rFonts w:ascii="Arial Narrow" w:hAnsi="Arial Narrow"/>
          <w:bCs/>
        </w:rPr>
        <w:t>(En caso de no</w:t>
      </w:r>
      <w:r>
        <w:rPr>
          <w:rFonts w:ascii="Arial Narrow" w:hAnsi="Arial Narrow"/>
          <w:bCs/>
        </w:rPr>
        <w:t xml:space="preserve"> poder realizar las excursiones </w:t>
      </w:r>
      <w:r w:rsidRPr="002450DC">
        <w:rPr>
          <w:rFonts w:ascii="Arial Narrow" w:hAnsi="Arial Narrow"/>
          <w:bCs/>
        </w:rPr>
        <w:t xml:space="preserve">opcionales mencionadas, se </w:t>
      </w:r>
      <w:r>
        <w:rPr>
          <w:rFonts w:ascii="Arial Narrow" w:hAnsi="Arial Narrow"/>
          <w:bCs/>
        </w:rPr>
        <w:t>le ofrecerá otras alternativas</w:t>
      </w:r>
      <w:r w:rsidR="00944F21">
        <w:rPr>
          <w:rFonts w:ascii="Arial Narrow" w:hAnsi="Arial Narrow"/>
          <w:bCs/>
        </w:rPr>
        <w:t xml:space="preserve"> </w:t>
      </w:r>
      <w:r w:rsidRPr="002450DC">
        <w:rPr>
          <w:rFonts w:ascii="Arial Narrow" w:hAnsi="Arial Narrow"/>
          <w:bCs/>
        </w:rPr>
        <w:t>durante el curso del tour).</w:t>
      </w:r>
      <w:r>
        <w:rPr>
          <w:rFonts w:ascii="Arial Narrow" w:hAnsi="Arial Narrow"/>
          <w:bCs/>
        </w:rPr>
        <w:t xml:space="preserve"> Alojamiento en el hotel.</w:t>
      </w:r>
    </w:p>
    <w:p w14:paraId="5EF5074C" w14:textId="77777777" w:rsidR="00B35B6B" w:rsidRPr="00512B76" w:rsidRDefault="00B35B6B" w:rsidP="00B35B6B">
      <w:pPr>
        <w:jc w:val="both"/>
        <w:rPr>
          <w:rFonts w:ascii="Arial Narrow" w:hAnsi="Arial Narrow"/>
          <w:b/>
          <w:bCs/>
        </w:rPr>
      </w:pPr>
      <w:r w:rsidRPr="00512B76">
        <w:rPr>
          <w:rFonts w:ascii="Arial Narrow" w:hAnsi="Arial Narrow"/>
          <w:b/>
          <w:bCs/>
          <w:color w:val="E36C0A" w:themeColor="accent6" w:themeShade="BF"/>
        </w:rPr>
        <w:lastRenderedPageBreak/>
        <w:t>DÍA 8 (SÁBADO) / PARÍS</w:t>
      </w:r>
      <w:r>
        <w:rPr>
          <w:rFonts w:ascii="Arial Narrow" w:hAnsi="Arial Narrow"/>
          <w:b/>
          <w:bCs/>
          <w:color w:val="E36C0A" w:themeColor="accent6" w:themeShade="BF"/>
        </w:rPr>
        <w:t xml:space="preserve"> – CIUDAD DE ORIGEN</w:t>
      </w:r>
    </w:p>
    <w:p w14:paraId="7925E6B7" w14:textId="5638EA66" w:rsidR="00B35B6B" w:rsidRDefault="00B35B6B" w:rsidP="00B35B6B">
      <w:pPr>
        <w:jc w:val="both"/>
        <w:rPr>
          <w:rFonts w:ascii="Arial Narrow" w:hAnsi="Arial Narrow"/>
          <w:bCs/>
        </w:rPr>
      </w:pPr>
      <w:r w:rsidRPr="002450DC">
        <w:rPr>
          <w:rFonts w:ascii="Arial Narrow" w:hAnsi="Arial Narrow"/>
          <w:bCs/>
        </w:rPr>
        <w:t>Desayuno</w:t>
      </w:r>
      <w:r>
        <w:rPr>
          <w:rFonts w:ascii="Arial Narrow" w:hAnsi="Arial Narrow"/>
          <w:bCs/>
        </w:rPr>
        <w:t xml:space="preserve"> en el hotel. </w:t>
      </w:r>
      <w:r w:rsidR="00944F21">
        <w:rPr>
          <w:rFonts w:ascii="Arial Narrow" w:hAnsi="Arial Narrow"/>
          <w:bCs/>
        </w:rPr>
        <w:t xml:space="preserve">FIN DE NUESTROS </w:t>
      </w:r>
      <w:r w:rsidR="00944F21" w:rsidRPr="002450DC">
        <w:rPr>
          <w:rFonts w:ascii="Arial Narrow" w:hAnsi="Arial Narrow"/>
          <w:bCs/>
        </w:rPr>
        <w:t>S</w:t>
      </w:r>
      <w:r w:rsidR="00944F21">
        <w:rPr>
          <w:rFonts w:ascii="Arial Narrow" w:hAnsi="Arial Narrow"/>
          <w:bCs/>
        </w:rPr>
        <w:t>ERVICIOS</w:t>
      </w:r>
      <w:r>
        <w:rPr>
          <w:rFonts w:ascii="Arial Narrow" w:hAnsi="Arial Narrow"/>
          <w:bCs/>
        </w:rPr>
        <w:t xml:space="preserve">. </w:t>
      </w:r>
      <w:r w:rsidRPr="00512B76">
        <w:rPr>
          <w:rFonts w:ascii="Arial Narrow" w:hAnsi="Arial Narrow"/>
          <w:b/>
          <w:bCs/>
        </w:rPr>
        <w:t>Traslado por su cuenta al aeropuerto.</w:t>
      </w:r>
    </w:p>
    <w:p w14:paraId="44FCA406" w14:textId="77777777" w:rsidR="00B35B6B" w:rsidRDefault="00B35B6B" w:rsidP="00B35B6B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2D67F225" w14:textId="7C4A2F11" w:rsidR="00B35B6B" w:rsidRDefault="00B35B6B" w:rsidP="00B35B6B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FECHAS DE SALIDA</w:t>
      </w:r>
    </w:p>
    <w:p w14:paraId="07C14F82" w14:textId="77777777" w:rsidR="00B35B6B" w:rsidRPr="007E2E77" w:rsidRDefault="00B35B6B" w:rsidP="00B35B6B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Sábados, del 29 de marzo 2025 al 28 de marzo 2026</w:t>
      </w:r>
    </w:p>
    <w:p w14:paraId="0547D221" w14:textId="77777777" w:rsidR="00B35B6B" w:rsidRDefault="00B35B6B" w:rsidP="00B35B6B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</w:p>
    <w:p w14:paraId="7DAF3213" w14:textId="32528052" w:rsidR="00B35B6B" w:rsidRPr="00153789" w:rsidRDefault="00B35B6B" w:rsidP="00B35B6B">
      <w:pPr>
        <w:jc w:val="center"/>
        <w:rPr>
          <w:rFonts w:ascii="Arial Narrow" w:hAnsi="Arial Narrow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PRECIOS POR PE</w:t>
      </w:r>
      <w:r>
        <w:rPr>
          <w:rFonts w:ascii="Arial Narrow" w:hAnsi="Arial Narrow"/>
          <w:b/>
          <w:bCs/>
          <w:color w:val="E36C0A" w:themeColor="accent6" w:themeShade="BF"/>
        </w:rPr>
        <w:t>RSONA EN USD</w:t>
      </w:r>
    </w:p>
    <w:tbl>
      <w:tblPr>
        <w:tblStyle w:val="Tablaconcuadrcula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1276"/>
        <w:gridCol w:w="1275"/>
      </w:tblGrid>
      <w:tr w:rsidR="00B35B6B" w:rsidRPr="00E96029" w14:paraId="34BE3D49" w14:textId="77777777" w:rsidTr="00272CDF">
        <w:tc>
          <w:tcPr>
            <w:tcW w:w="4111" w:type="dxa"/>
          </w:tcPr>
          <w:p w14:paraId="4520F89D" w14:textId="77777777" w:rsidR="00B35B6B" w:rsidRPr="00E96029" w:rsidRDefault="00B35B6B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Temporada</w:t>
            </w:r>
          </w:p>
        </w:tc>
        <w:tc>
          <w:tcPr>
            <w:tcW w:w="1276" w:type="dxa"/>
          </w:tcPr>
          <w:p w14:paraId="1CEE86AA" w14:textId="77777777" w:rsidR="00B35B6B" w:rsidRPr="00E96029" w:rsidRDefault="00B35B6B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DBL</w:t>
            </w:r>
          </w:p>
        </w:tc>
        <w:tc>
          <w:tcPr>
            <w:tcW w:w="1276" w:type="dxa"/>
          </w:tcPr>
          <w:p w14:paraId="05B0E341" w14:textId="77777777" w:rsidR="00B35B6B" w:rsidRPr="00E96029" w:rsidRDefault="00B35B6B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TPL</w:t>
            </w:r>
          </w:p>
        </w:tc>
        <w:tc>
          <w:tcPr>
            <w:tcW w:w="1275" w:type="dxa"/>
          </w:tcPr>
          <w:p w14:paraId="6E0AF0A1" w14:textId="77777777" w:rsidR="00B35B6B" w:rsidRPr="00E96029" w:rsidRDefault="00B35B6B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E96029">
              <w:rPr>
                <w:rFonts w:ascii="Arial Narrow" w:hAnsi="Arial Narrow"/>
                <w:b/>
                <w:bCs/>
              </w:rPr>
              <w:t>SGL</w:t>
            </w:r>
          </w:p>
        </w:tc>
      </w:tr>
      <w:tr w:rsidR="00B35B6B" w:rsidRPr="00E96029" w14:paraId="4E049ACC" w14:textId="77777777" w:rsidTr="00272CDF">
        <w:tc>
          <w:tcPr>
            <w:tcW w:w="4111" w:type="dxa"/>
          </w:tcPr>
          <w:p w14:paraId="0141E979" w14:textId="77777777" w:rsidR="00B35B6B" w:rsidRPr="005B2BED" w:rsidRDefault="00B35B6B" w:rsidP="00272CDF">
            <w:pPr>
              <w:rPr>
                <w:rFonts w:ascii="Arial Narrow" w:hAnsi="Arial Narrow"/>
                <w:b/>
                <w:bCs/>
              </w:rPr>
            </w:pPr>
            <w:r w:rsidRPr="005B2BED">
              <w:rPr>
                <w:rFonts w:ascii="Arial Narrow" w:hAnsi="Arial Narrow"/>
                <w:b/>
                <w:bCs/>
              </w:rPr>
              <w:t>Baja:</w:t>
            </w:r>
          </w:p>
          <w:p w14:paraId="58A6732A" w14:textId="77777777" w:rsidR="00B35B6B" w:rsidRPr="00E96029" w:rsidRDefault="00B35B6B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01 de noviembre 2025 al 21 de marzo 2026</w:t>
            </w:r>
          </w:p>
        </w:tc>
        <w:tc>
          <w:tcPr>
            <w:tcW w:w="1276" w:type="dxa"/>
            <w:vAlign w:val="center"/>
          </w:tcPr>
          <w:p w14:paraId="049CF28C" w14:textId="77777777" w:rsidR="00B35B6B" w:rsidRPr="00E96029" w:rsidRDefault="00B35B6B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$ 1,290</w:t>
            </w:r>
          </w:p>
        </w:tc>
        <w:tc>
          <w:tcPr>
            <w:tcW w:w="1276" w:type="dxa"/>
            <w:vAlign w:val="center"/>
          </w:tcPr>
          <w:p w14:paraId="14118D19" w14:textId="77777777" w:rsidR="00B35B6B" w:rsidRPr="00E96029" w:rsidRDefault="00B35B6B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$ 1,269</w:t>
            </w:r>
          </w:p>
        </w:tc>
        <w:tc>
          <w:tcPr>
            <w:tcW w:w="1275" w:type="dxa"/>
            <w:vAlign w:val="center"/>
          </w:tcPr>
          <w:p w14:paraId="005EC051" w14:textId="77777777" w:rsidR="00B35B6B" w:rsidRPr="00E96029" w:rsidRDefault="00B35B6B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$ 1,890</w:t>
            </w:r>
          </w:p>
        </w:tc>
      </w:tr>
      <w:tr w:rsidR="00B35B6B" w:rsidRPr="00E96029" w14:paraId="77BD03AE" w14:textId="77777777" w:rsidTr="00272CDF">
        <w:tc>
          <w:tcPr>
            <w:tcW w:w="4111" w:type="dxa"/>
          </w:tcPr>
          <w:p w14:paraId="21B366DE" w14:textId="77777777" w:rsidR="00B35B6B" w:rsidRDefault="00B35B6B" w:rsidP="00272CDF">
            <w:pPr>
              <w:rPr>
                <w:rFonts w:ascii="Arial Narrow" w:hAnsi="Arial Narrow"/>
                <w:b/>
                <w:bCs/>
              </w:rPr>
            </w:pPr>
            <w:r w:rsidRPr="003007DD">
              <w:rPr>
                <w:rFonts w:ascii="Arial Narrow" w:hAnsi="Arial Narrow"/>
                <w:b/>
                <w:bCs/>
              </w:rPr>
              <w:t>Media:</w:t>
            </w:r>
          </w:p>
          <w:p w14:paraId="7A7E23F1" w14:textId="77777777" w:rsidR="00B35B6B" w:rsidRPr="00DB056A" w:rsidRDefault="00B35B6B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05 de julio al 23 de agosto 2025</w:t>
            </w:r>
          </w:p>
        </w:tc>
        <w:tc>
          <w:tcPr>
            <w:tcW w:w="1276" w:type="dxa"/>
            <w:vAlign w:val="center"/>
          </w:tcPr>
          <w:p w14:paraId="5435D7D3" w14:textId="77777777" w:rsidR="00B35B6B" w:rsidRPr="00E96029" w:rsidRDefault="00B35B6B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$ 1,350</w:t>
            </w:r>
          </w:p>
        </w:tc>
        <w:tc>
          <w:tcPr>
            <w:tcW w:w="1276" w:type="dxa"/>
            <w:vAlign w:val="center"/>
          </w:tcPr>
          <w:p w14:paraId="30A59C7C" w14:textId="77777777" w:rsidR="00B35B6B" w:rsidRPr="00E96029" w:rsidRDefault="00B35B6B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$ 1,328</w:t>
            </w:r>
          </w:p>
        </w:tc>
        <w:tc>
          <w:tcPr>
            <w:tcW w:w="1275" w:type="dxa"/>
            <w:vAlign w:val="center"/>
          </w:tcPr>
          <w:p w14:paraId="5C710AED" w14:textId="77777777" w:rsidR="00B35B6B" w:rsidRPr="00E96029" w:rsidRDefault="00B35B6B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$ 1,950</w:t>
            </w:r>
          </w:p>
        </w:tc>
      </w:tr>
      <w:tr w:rsidR="00B35B6B" w:rsidRPr="00E96029" w14:paraId="006F1C42" w14:textId="77777777" w:rsidTr="00272CDF">
        <w:tc>
          <w:tcPr>
            <w:tcW w:w="4111" w:type="dxa"/>
          </w:tcPr>
          <w:p w14:paraId="29432565" w14:textId="77777777" w:rsidR="00B35B6B" w:rsidRDefault="00B35B6B" w:rsidP="00272CDF">
            <w:pPr>
              <w:rPr>
                <w:rFonts w:ascii="Arial Narrow" w:hAnsi="Arial Narrow"/>
                <w:b/>
                <w:bCs/>
              </w:rPr>
            </w:pPr>
            <w:r w:rsidRPr="003007DD">
              <w:rPr>
                <w:rFonts w:ascii="Arial Narrow" w:hAnsi="Arial Narrow"/>
                <w:b/>
                <w:bCs/>
              </w:rPr>
              <w:t>Alta:</w:t>
            </w:r>
          </w:p>
          <w:p w14:paraId="0FFE5ED9" w14:textId="77777777" w:rsidR="00B35B6B" w:rsidRDefault="00B35B6B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29 de marzo al 28 de junio 2025</w:t>
            </w:r>
          </w:p>
          <w:p w14:paraId="2C89656D" w14:textId="77777777" w:rsidR="00B35B6B" w:rsidRDefault="00B35B6B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30 de agosto al 25 de octubre 2025</w:t>
            </w:r>
          </w:p>
          <w:p w14:paraId="2E04E216" w14:textId="77777777" w:rsidR="00B35B6B" w:rsidRPr="00DB056A" w:rsidRDefault="00B35B6B" w:rsidP="00272CDF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28 de marzo 2026</w:t>
            </w:r>
          </w:p>
        </w:tc>
        <w:tc>
          <w:tcPr>
            <w:tcW w:w="1276" w:type="dxa"/>
            <w:vAlign w:val="center"/>
          </w:tcPr>
          <w:p w14:paraId="0C623785" w14:textId="77777777" w:rsidR="00B35B6B" w:rsidRPr="00E96029" w:rsidRDefault="00B35B6B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$ 1,390</w:t>
            </w:r>
          </w:p>
        </w:tc>
        <w:tc>
          <w:tcPr>
            <w:tcW w:w="1276" w:type="dxa"/>
            <w:vAlign w:val="center"/>
          </w:tcPr>
          <w:p w14:paraId="2EF88E68" w14:textId="77777777" w:rsidR="00B35B6B" w:rsidRPr="00E96029" w:rsidRDefault="00B35B6B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$ 1,367</w:t>
            </w:r>
          </w:p>
        </w:tc>
        <w:tc>
          <w:tcPr>
            <w:tcW w:w="1275" w:type="dxa"/>
            <w:vAlign w:val="center"/>
          </w:tcPr>
          <w:p w14:paraId="107C0240" w14:textId="77777777" w:rsidR="00B35B6B" w:rsidRPr="00E96029" w:rsidRDefault="00B35B6B" w:rsidP="00272CD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$ 1,990</w:t>
            </w:r>
          </w:p>
        </w:tc>
      </w:tr>
    </w:tbl>
    <w:p w14:paraId="6992ECF8" w14:textId="77777777" w:rsidR="00B35B6B" w:rsidRDefault="00B35B6B" w:rsidP="00B35B6B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0EA07696" w14:textId="2F54F6F5" w:rsidR="00B35B6B" w:rsidRPr="0030147D" w:rsidRDefault="00B35B6B" w:rsidP="00B35B6B">
      <w:pPr>
        <w:jc w:val="both"/>
        <w:rPr>
          <w:rFonts w:ascii="Arial Narrow" w:hAnsi="Arial Narrow"/>
          <w:b/>
          <w:bCs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EL PRECIO INCLUYE</w:t>
      </w:r>
      <w:r>
        <w:rPr>
          <w:rFonts w:ascii="Arial Narrow" w:hAnsi="Arial Narrow"/>
          <w:b/>
          <w:bCs/>
          <w:color w:val="E36C0A" w:themeColor="accent6" w:themeShade="BF"/>
        </w:rPr>
        <w:t>:</w:t>
      </w:r>
    </w:p>
    <w:p w14:paraId="3CF20E5E" w14:textId="77777777" w:rsidR="00B35B6B" w:rsidRPr="00DB056A" w:rsidRDefault="00B35B6B" w:rsidP="001852EC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DB056A">
        <w:rPr>
          <w:rFonts w:ascii="Arial Narrow" w:hAnsi="Arial Narrow"/>
          <w:bCs/>
        </w:rPr>
        <w:t>Traslado de llegada en Londres</w:t>
      </w:r>
    </w:p>
    <w:p w14:paraId="2D1DF6A1" w14:textId="77777777" w:rsidR="00B35B6B" w:rsidRPr="00DB056A" w:rsidRDefault="00B35B6B" w:rsidP="001852EC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DB056A">
        <w:rPr>
          <w:rFonts w:ascii="Arial Narrow" w:hAnsi="Arial Narrow"/>
          <w:bCs/>
        </w:rPr>
        <w:t>Desayuno buffet diario</w:t>
      </w:r>
    </w:p>
    <w:p w14:paraId="718B4717" w14:textId="77777777" w:rsidR="00B35B6B" w:rsidRPr="00DB056A" w:rsidRDefault="00B35B6B" w:rsidP="001852EC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DB056A">
        <w:rPr>
          <w:rFonts w:ascii="Arial Narrow" w:hAnsi="Arial Narrow"/>
          <w:bCs/>
        </w:rPr>
        <w:t>Autocar de lujo con WiFi gratuito</w:t>
      </w:r>
    </w:p>
    <w:p w14:paraId="03D4A6FB" w14:textId="4BACDD8A" w:rsidR="00944F21" w:rsidRPr="00DB056A" w:rsidRDefault="00B35B6B" w:rsidP="001852EC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DB056A">
        <w:rPr>
          <w:rFonts w:ascii="Arial Narrow" w:hAnsi="Arial Narrow"/>
          <w:bCs/>
        </w:rPr>
        <w:t>Guía acompañante</w:t>
      </w:r>
      <w:r w:rsidR="00944F21">
        <w:rPr>
          <w:rFonts w:ascii="Arial Narrow" w:hAnsi="Arial Narrow"/>
          <w:bCs/>
        </w:rPr>
        <w:t xml:space="preserve"> y v</w:t>
      </w:r>
      <w:r w:rsidR="00944F21" w:rsidRPr="00DB056A">
        <w:rPr>
          <w:rFonts w:ascii="Arial Narrow" w:hAnsi="Arial Narrow"/>
          <w:bCs/>
        </w:rPr>
        <w:t>isita con guía local en Londres y París</w:t>
      </w:r>
    </w:p>
    <w:p w14:paraId="3193869B" w14:textId="77777777" w:rsidR="00B35B6B" w:rsidRPr="00DB056A" w:rsidRDefault="00B35B6B" w:rsidP="001852EC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DB056A">
        <w:rPr>
          <w:rFonts w:ascii="Arial Narrow" w:hAnsi="Arial Narrow"/>
          <w:bCs/>
        </w:rPr>
        <w:t>Seguro turístico</w:t>
      </w:r>
    </w:p>
    <w:p w14:paraId="039FB869" w14:textId="48C7407D" w:rsidR="00B35B6B" w:rsidRPr="00DB056A" w:rsidRDefault="00B35B6B" w:rsidP="001852EC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DB056A">
        <w:rPr>
          <w:rFonts w:ascii="Arial Narrow" w:hAnsi="Arial Narrow"/>
          <w:bCs/>
        </w:rPr>
        <w:t xml:space="preserve">Neceser de viaje con </w:t>
      </w:r>
      <w:r w:rsidR="00944F21">
        <w:rPr>
          <w:rFonts w:ascii="Arial Narrow" w:hAnsi="Arial Narrow"/>
          <w:bCs/>
        </w:rPr>
        <w:t>amenidades</w:t>
      </w:r>
    </w:p>
    <w:p w14:paraId="3913A8BA" w14:textId="78710340" w:rsidR="00B35B6B" w:rsidRPr="00B35B6B" w:rsidRDefault="00B35B6B" w:rsidP="001852EC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Cs/>
        </w:rPr>
      </w:pPr>
      <w:r w:rsidRPr="00DB056A">
        <w:rPr>
          <w:rFonts w:ascii="Arial Narrow" w:hAnsi="Arial Narrow"/>
          <w:bCs/>
        </w:rPr>
        <w:t>Tasas municipales en Londres</w:t>
      </w:r>
    </w:p>
    <w:p w14:paraId="5ACF3533" w14:textId="77777777" w:rsidR="00B35B6B" w:rsidRDefault="00B35B6B" w:rsidP="00B35B6B">
      <w:pPr>
        <w:jc w:val="both"/>
        <w:rPr>
          <w:rFonts w:ascii="Arial Narrow" w:hAnsi="Arial Narrow"/>
          <w:b/>
          <w:bCs/>
          <w:color w:val="E36C0A" w:themeColor="accent6" w:themeShade="BF"/>
        </w:rPr>
      </w:pPr>
    </w:p>
    <w:p w14:paraId="423CCA7A" w14:textId="4499C960" w:rsidR="00B35B6B" w:rsidRDefault="00B35B6B" w:rsidP="00B35B6B">
      <w:pPr>
        <w:jc w:val="both"/>
        <w:rPr>
          <w:rFonts w:ascii="Arial Narrow" w:hAnsi="Arial Narrow"/>
          <w:b/>
          <w:bCs/>
          <w:color w:val="E36C0A" w:themeColor="accent6" w:themeShade="BF"/>
        </w:rPr>
      </w:pPr>
      <w:r w:rsidRPr="0030147D">
        <w:rPr>
          <w:rFonts w:ascii="Arial Narrow" w:hAnsi="Arial Narrow"/>
          <w:b/>
          <w:bCs/>
          <w:color w:val="E36C0A" w:themeColor="accent6" w:themeShade="BF"/>
        </w:rPr>
        <w:t>EL PRECIO NO INCLUYE</w:t>
      </w:r>
      <w:r>
        <w:rPr>
          <w:rFonts w:ascii="Arial Narrow" w:hAnsi="Arial Narrow"/>
          <w:b/>
          <w:bCs/>
          <w:color w:val="E36C0A" w:themeColor="accent6" w:themeShade="BF"/>
        </w:rPr>
        <w:t>:</w:t>
      </w:r>
    </w:p>
    <w:p w14:paraId="31307B2B" w14:textId="77777777" w:rsidR="00B35B6B" w:rsidRPr="003450A6" w:rsidRDefault="00B35B6B" w:rsidP="001852EC">
      <w:pPr>
        <w:pStyle w:val="Prrafodelista"/>
        <w:numPr>
          <w:ilvl w:val="0"/>
          <w:numId w:val="1"/>
        </w:numPr>
        <w:rPr>
          <w:rFonts w:ascii="Arial Narrow" w:hAnsi="Arial Narrow"/>
          <w:bCs/>
        </w:rPr>
      </w:pPr>
      <w:r w:rsidRPr="003450A6">
        <w:rPr>
          <w:rFonts w:ascii="Arial Narrow" w:hAnsi="Arial Narrow"/>
          <w:bCs/>
        </w:rPr>
        <w:t>Propina para guía, chofer, etc.</w:t>
      </w:r>
    </w:p>
    <w:p w14:paraId="2BF1FA16" w14:textId="77777777" w:rsidR="00B35B6B" w:rsidRDefault="00B35B6B" w:rsidP="001852EC">
      <w:pPr>
        <w:pStyle w:val="Prrafodelista"/>
        <w:numPr>
          <w:ilvl w:val="0"/>
          <w:numId w:val="2"/>
        </w:numPr>
        <w:rPr>
          <w:rFonts w:ascii="Arial Narrow" w:hAnsi="Arial Narrow"/>
          <w:bCs/>
        </w:rPr>
      </w:pPr>
      <w:r w:rsidRPr="003450A6">
        <w:rPr>
          <w:rFonts w:ascii="Arial Narrow" w:hAnsi="Arial Narrow"/>
          <w:bCs/>
        </w:rPr>
        <w:t>Gastos de índole personal</w:t>
      </w:r>
    </w:p>
    <w:p w14:paraId="7D13F32F" w14:textId="77777777" w:rsidR="00B35B6B" w:rsidRPr="003450A6" w:rsidRDefault="00B35B6B" w:rsidP="001852EC">
      <w:pPr>
        <w:pStyle w:val="Prrafodelista"/>
        <w:numPr>
          <w:ilvl w:val="0"/>
          <w:numId w:val="2"/>
        </w:num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Traslado de salida</w:t>
      </w:r>
    </w:p>
    <w:p w14:paraId="01654013" w14:textId="77777777" w:rsidR="00B35B6B" w:rsidRPr="003450A6" w:rsidRDefault="00B35B6B" w:rsidP="001852EC">
      <w:pPr>
        <w:pStyle w:val="Prrafodelista"/>
        <w:numPr>
          <w:ilvl w:val="0"/>
          <w:numId w:val="2"/>
        </w:numPr>
        <w:rPr>
          <w:rFonts w:ascii="Arial Narrow" w:hAnsi="Arial Narrow"/>
          <w:bCs/>
        </w:rPr>
      </w:pPr>
      <w:r w:rsidRPr="003450A6">
        <w:rPr>
          <w:rFonts w:ascii="Arial Narrow" w:hAnsi="Arial Narrow"/>
          <w:bCs/>
        </w:rPr>
        <w:t>Vuelos internacionales</w:t>
      </w:r>
    </w:p>
    <w:p w14:paraId="2457BEE5" w14:textId="77777777" w:rsidR="00B35B6B" w:rsidRPr="003450A6" w:rsidRDefault="00B35B6B" w:rsidP="001852EC">
      <w:pPr>
        <w:pStyle w:val="Prrafodelista"/>
        <w:numPr>
          <w:ilvl w:val="0"/>
          <w:numId w:val="2"/>
        </w:numPr>
        <w:rPr>
          <w:rFonts w:ascii="Arial Narrow" w:hAnsi="Arial Narrow"/>
          <w:bCs/>
        </w:rPr>
      </w:pPr>
      <w:r w:rsidRPr="003450A6">
        <w:rPr>
          <w:rFonts w:ascii="Arial Narrow" w:hAnsi="Arial Narrow"/>
          <w:bCs/>
        </w:rPr>
        <w:t>Lo no especificado en el apartado del precio incluye</w:t>
      </w:r>
    </w:p>
    <w:p w14:paraId="50AD2CD1" w14:textId="77777777" w:rsidR="00B35B6B" w:rsidRPr="00C70637" w:rsidRDefault="00B35B6B" w:rsidP="00B35B6B">
      <w:pPr>
        <w:rPr>
          <w:rFonts w:ascii="Arial Narrow" w:hAnsi="Arial Narrow"/>
          <w:bCs/>
        </w:rPr>
      </w:pPr>
    </w:p>
    <w:p w14:paraId="08843938" w14:textId="77777777" w:rsidR="00B35B6B" w:rsidRDefault="00B35B6B" w:rsidP="00B35B6B">
      <w:pPr>
        <w:jc w:val="center"/>
        <w:rPr>
          <w:rFonts w:ascii="Arial Narrow" w:hAnsi="Arial Narrow"/>
          <w:b/>
          <w:bCs/>
          <w:color w:val="E36C0A" w:themeColor="accent6" w:themeShade="BF"/>
        </w:rPr>
      </w:pPr>
      <w:r w:rsidRPr="00F01A86">
        <w:rPr>
          <w:rFonts w:ascii="Arial Narrow" w:hAnsi="Arial Narrow"/>
          <w:b/>
          <w:bCs/>
          <w:color w:val="E36C0A" w:themeColor="accent6" w:themeShade="BF"/>
        </w:rPr>
        <w:t>HOTELES PREVISTOS Y/O SIMILARES</w:t>
      </w:r>
    </w:p>
    <w:tbl>
      <w:tblPr>
        <w:tblStyle w:val="Tablaconcuadrcula"/>
        <w:tblW w:w="0" w:type="auto"/>
        <w:tblInd w:w="1304" w:type="dxa"/>
        <w:tblLook w:val="04A0" w:firstRow="1" w:lastRow="0" w:firstColumn="1" w:lastColumn="0" w:noHBand="0" w:noVBand="1"/>
      </w:tblPr>
      <w:tblGrid>
        <w:gridCol w:w="1560"/>
        <w:gridCol w:w="3402"/>
        <w:gridCol w:w="1275"/>
      </w:tblGrid>
      <w:tr w:rsidR="00B35B6B" w14:paraId="3959FD29" w14:textId="77777777" w:rsidTr="00272CDF">
        <w:tc>
          <w:tcPr>
            <w:tcW w:w="1560" w:type="dxa"/>
          </w:tcPr>
          <w:p w14:paraId="5393D92F" w14:textId="77777777" w:rsidR="00B35B6B" w:rsidRPr="00DD4CC9" w:rsidRDefault="00B35B6B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>Ciudad</w:t>
            </w:r>
          </w:p>
        </w:tc>
        <w:tc>
          <w:tcPr>
            <w:tcW w:w="3402" w:type="dxa"/>
          </w:tcPr>
          <w:p w14:paraId="69FFB09F" w14:textId="77777777" w:rsidR="00B35B6B" w:rsidRPr="00DD4CC9" w:rsidRDefault="00B35B6B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 xml:space="preserve">Hotel </w:t>
            </w:r>
          </w:p>
        </w:tc>
        <w:tc>
          <w:tcPr>
            <w:tcW w:w="1275" w:type="dxa"/>
          </w:tcPr>
          <w:p w14:paraId="1127A7B8" w14:textId="77777777" w:rsidR="00B35B6B" w:rsidRPr="00DD4CC9" w:rsidRDefault="00B35B6B" w:rsidP="00272CDF">
            <w:pPr>
              <w:jc w:val="center"/>
              <w:rPr>
                <w:rFonts w:ascii="Arial Narrow" w:hAnsi="Arial Narrow"/>
                <w:b/>
                <w:bCs/>
              </w:rPr>
            </w:pPr>
            <w:r w:rsidRPr="00DD4CC9">
              <w:rPr>
                <w:rFonts w:ascii="Arial Narrow" w:hAnsi="Arial Narrow"/>
                <w:b/>
                <w:bCs/>
              </w:rPr>
              <w:t>Categoría</w:t>
            </w:r>
          </w:p>
        </w:tc>
      </w:tr>
      <w:tr w:rsidR="00B35B6B" w:rsidRPr="00DD4CC9" w14:paraId="76C66D99" w14:textId="77777777" w:rsidTr="00272CDF">
        <w:tc>
          <w:tcPr>
            <w:tcW w:w="1560" w:type="dxa"/>
          </w:tcPr>
          <w:p w14:paraId="4C51D407" w14:textId="77777777" w:rsidR="00B35B6B" w:rsidRDefault="00B35B6B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Londres</w:t>
            </w:r>
          </w:p>
        </w:tc>
        <w:tc>
          <w:tcPr>
            <w:tcW w:w="3402" w:type="dxa"/>
            <w:vAlign w:val="center"/>
          </w:tcPr>
          <w:p w14:paraId="7A3FEAFA" w14:textId="03CCF547" w:rsidR="00B35B6B" w:rsidRPr="00944F21" w:rsidRDefault="004D0EF6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7" w:history="1">
              <w:r w:rsidR="00B35B6B" w:rsidRPr="004D0EF6">
                <w:rPr>
                  <w:rStyle w:val="Hipervnculo"/>
                  <w:rFonts w:ascii="Arial Narrow" w:hAnsi="Arial Narrow"/>
                  <w:lang w:val="en-US"/>
                </w:rPr>
                <w:t>Holiday Inn Express Earl’s Court</w:t>
              </w:r>
            </w:hyperlink>
          </w:p>
          <w:p w14:paraId="0126823E" w14:textId="7B271F2F" w:rsidR="00B35B6B" w:rsidRPr="00944F21" w:rsidRDefault="004D0EF6" w:rsidP="00272CDF">
            <w:pPr>
              <w:jc w:val="center"/>
              <w:rPr>
                <w:rFonts w:ascii="Arial Narrow" w:hAnsi="Arial Narrow"/>
                <w:lang w:val="en-US"/>
              </w:rPr>
            </w:pPr>
            <w:hyperlink r:id="rId8" w:history="1">
              <w:r w:rsidR="00B35B6B" w:rsidRPr="004D0EF6">
                <w:rPr>
                  <w:rStyle w:val="Hipervnculo"/>
                  <w:rFonts w:ascii="Arial Narrow" w:hAnsi="Arial Narrow"/>
                  <w:lang w:val="en-US"/>
                </w:rPr>
                <w:t>Royal National</w:t>
              </w:r>
            </w:hyperlink>
          </w:p>
          <w:p w14:paraId="3D5F3D18" w14:textId="0B72D1F6" w:rsidR="00B35B6B" w:rsidRPr="00B35B6B" w:rsidRDefault="004D0EF6" w:rsidP="00272CDF">
            <w:pPr>
              <w:jc w:val="center"/>
              <w:rPr>
                <w:rFonts w:ascii="Arial Narrow" w:hAnsi="Arial Narrow"/>
                <w:lang w:val="de-DE"/>
              </w:rPr>
            </w:pPr>
            <w:hyperlink r:id="rId9" w:history="1">
              <w:r w:rsidR="00B35B6B" w:rsidRPr="004D0EF6">
                <w:rPr>
                  <w:rStyle w:val="Hipervnculo"/>
                  <w:rFonts w:ascii="Arial Narrow" w:hAnsi="Arial Narrow"/>
                  <w:lang w:val="de-DE"/>
                </w:rPr>
                <w:t>Premier Inn London Hanger Lane</w:t>
              </w:r>
            </w:hyperlink>
          </w:p>
        </w:tc>
        <w:tc>
          <w:tcPr>
            <w:tcW w:w="1275" w:type="dxa"/>
          </w:tcPr>
          <w:p w14:paraId="09B7A0E2" w14:textId="77777777" w:rsidR="00B35B6B" w:rsidRDefault="00B35B6B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64A3B0E7" w14:textId="77777777" w:rsidR="00B35B6B" w:rsidRPr="009444F3" w:rsidRDefault="00B35B6B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  <w:r>
              <w:rPr>
                <w:rFonts w:ascii="Arial Narrow" w:hAnsi="Arial Narrow"/>
              </w:rPr>
              <w:br/>
              <w:t>3*</w:t>
            </w:r>
          </w:p>
        </w:tc>
      </w:tr>
      <w:tr w:rsidR="00B35B6B" w14:paraId="051DB9D1" w14:textId="77777777" w:rsidTr="00272CDF">
        <w:tc>
          <w:tcPr>
            <w:tcW w:w="1560" w:type="dxa"/>
          </w:tcPr>
          <w:p w14:paraId="35678510" w14:textId="77777777" w:rsidR="00B35B6B" w:rsidRDefault="00B35B6B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París</w:t>
            </w:r>
          </w:p>
        </w:tc>
        <w:tc>
          <w:tcPr>
            <w:tcW w:w="3402" w:type="dxa"/>
            <w:vAlign w:val="center"/>
          </w:tcPr>
          <w:p w14:paraId="5F6881AA" w14:textId="1A67B2F4" w:rsidR="00B35B6B" w:rsidRPr="00944F21" w:rsidRDefault="004D0EF6" w:rsidP="00272CDF">
            <w:pPr>
              <w:jc w:val="center"/>
              <w:rPr>
                <w:rFonts w:ascii="Arial Narrow" w:hAnsi="Arial Narrow"/>
                <w:lang w:val="pt-PT"/>
              </w:rPr>
            </w:pPr>
            <w:hyperlink r:id="rId10" w:history="1">
              <w:r w:rsidR="00B35B6B" w:rsidRPr="004D0EF6">
                <w:rPr>
                  <w:rStyle w:val="Hipervnculo"/>
                  <w:rFonts w:ascii="Arial Narrow" w:hAnsi="Arial Narrow"/>
                  <w:lang w:val="pt-PT"/>
                </w:rPr>
                <w:t>Ibis París Porte D’Italie</w:t>
              </w:r>
            </w:hyperlink>
          </w:p>
          <w:p w14:paraId="7A4FB0DC" w14:textId="653E8E94" w:rsidR="00B35B6B" w:rsidRPr="00944F21" w:rsidRDefault="004D0EF6" w:rsidP="00944F21">
            <w:pPr>
              <w:jc w:val="center"/>
              <w:rPr>
                <w:rFonts w:ascii="Arial Narrow" w:hAnsi="Arial Narrow"/>
                <w:lang w:val="pt-PT"/>
              </w:rPr>
            </w:pPr>
            <w:hyperlink r:id="rId11" w:history="1">
              <w:r w:rsidR="00B35B6B" w:rsidRPr="004D0EF6">
                <w:rPr>
                  <w:rStyle w:val="Hipervnculo"/>
                  <w:rFonts w:ascii="Arial Narrow" w:hAnsi="Arial Narrow"/>
                  <w:lang w:val="pt-PT"/>
                </w:rPr>
                <w:t>Ibis París Pantin Eglise</w:t>
              </w:r>
            </w:hyperlink>
            <w:bookmarkStart w:id="0" w:name="_GoBack"/>
            <w:bookmarkEnd w:id="0"/>
          </w:p>
        </w:tc>
        <w:tc>
          <w:tcPr>
            <w:tcW w:w="1275" w:type="dxa"/>
          </w:tcPr>
          <w:p w14:paraId="5E40DE4F" w14:textId="77777777" w:rsidR="00B35B6B" w:rsidRDefault="00B35B6B" w:rsidP="00272C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  <w:p w14:paraId="24023E53" w14:textId="670347AF" w:rsidR="00B35B6B" w:rsidRDefault="00B35B6B" w:rsidP="00944F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3*</w:t>
            </w:r>
          </w:p>
        </w:tc>
      </w:tr>
    </w:tbl>
    <w:p w14:paraId="0C0FCF52" w14:textId="77777777" w:rsidR="00944F21" w:rsidRDefault="00944F21" w:rsidP="00B35B6B">
      <w:pPr>
        <w:jc w:val="center"/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</w:pPr>
    </w:p>
    <w:p w14:paraId="22449453" w14:textId="03E1E4B6" w:rsidR="00392989" w:rsidRPr="00682558" w:rsidRDefault="00F33A3C" w:rsidP="00B35B6B">
      <w:pPr>
        <w:jc w:val="center"/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</w:pPr>
      <w:r w:rsidRPr="00A150DB"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  <w:t>PRECIOS Y DISPONIBILIDAD SUJETOS A CAMBIO HASTA EL MOMENTO DE LA</w:t>
      </w:r>
      <w:r w:rsidR="00A150DB" w:rsidRPr="00A150DB">
        <w:rPr>
          <w:rFonts w:ascii="Lora Medium" w:hAnsi="Lora Medium"/>
          <w:b/>
          <w:bCs/>
          <w:iCs/>
          <w:color w:val="E36C0A" w:themeColor="accent6" w:themeShade="BF"/>
          <w:sz w:val="32"/>
          <w:szCs w:val="32"/>
          <w:lang w:eastAsia="ar-SA"/>
        </w:rPr>
        <w:t xml:space="preserve"> CONFIRMACION DE LOS SERVICIOS</w:t>
      </w:r>
    </w:p>
    <w:sectPr w:rsidR="00392989" w:rsidRPr="006825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1A061" w14:textId="77777777" w:rsidR="001852EC" w:rsidRDefault="001852EC" w:rsidP="00D4640C">
      <w:r>
        <w:separator/>
      </w:r>
    </w:p>
  </w:endnote>
  <w:endnote w:type="continuationSeparator" w:id="0">
    <w:p w14:paraId="676D9FEB" w14:textId="77777777" w:rsidR="001852EC" w:rsidRDefault="001852EC" w:rsidP="00D4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ora Medium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BC9F8" w14:textId="77777777" w:rsidR="001852EC" w:rsidRDefault="001852EC" w:rsidP="00D4640C">
      <w:r>
        <w:separator/>
      </w:r>
    </w:p>
  </w:footnote>
  <w:footnote w:type="continuationSeparator" w:id="0">
    <w:p w14:paraId="67660D32" w14:textId="77777777" w:rsidR="001852EC" w:rsidRDefault="001852EC" w:rsidP="00D4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2230"/>
    <w:multiLevelType w:val="hybridMultilevel"/>
    <w:tmpl w:val="5AA83358"/>
    <w:lvl w:ilvl="0" w:tplc="F910868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F20A9"/>
    <w:multiLevelType w:val="hybridMultilevel"/>
    <w:tmpl w:val="4EE2C0D6"/>
    <w:lvl w:ilvl="0" w:tplc="F910868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C1F37"/>
    <w:multiLevelType w:val="hybridMultilevel"/>
    <w:tmpl w:val="89284076"/>
    <w:lvl w:ilvl="0" w:tplc="F910868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0C"/>
    <w:rsid w:val="000275B8"/>
    <w:rsid w:val="00036783"/>
    <w:rsid w:val="00050C57"/>
    <w:rsid w:val="00066EC1"/>
    <w:rsid w:val="0007170E"/>
    <w:rsid w:val="00091E64"/>
    <w:rsid w:val="00093416"/>
    <w:rsid w:val="00096B0A"/>
    <w:rsid w:val="000A3EB6"/>
    <w:rsid w:val="000A52CC"/>
    <w:rsid w:val="000B300F"/>
    <w:rsid w:val="000B69BE"/>
    <w:rsid w:val="000C25EB"/>
    <w:rsid w:val="000C2F26"/>
    <w:rsid w:val="000D6153"/>
    <w:rsid w:val="000E645A"/>
    <w:rsid w:val="000E7FE9"/>
    <w:rsid w:val="001061A8"/>
    <w:rsid w:val="00131CF1"/>
    <w:rsid w:val="00152ADC"/>
    <w:rsid w:val="00163E06"/>
    <w:rsid w:val="00173953"/>
    <w:rsid w:val="0017395B"/>
    <w:rsid w:val="00180DA3"/>
    <w:rsid w:val="001852EC"/>
    <w:rsid w:val="00193930"/>
    <w:rsid w:val="00193DFF"/>
    <w:rsid w:val="00196219"/>
    <w:rsid w:val="001A47DF"/>
    <w:rsid w:val="001D0AF3"/>
    <w:rsid w:val="001D3505"/>
    <w:rsid w:val="001D3D5D"/>
    <w:rsid w:val="001D4090"/>
    <w:rsid w:val="001D64D6"/>
    <w:rsid w:val="001D6B03"/>
    <w:rsid w:val="001D77CF"/>
    <w:rsid w:val="00207C1C"/>
    <w:rsid w:val="0022313F"/>
    <w:rsid w:val="002272A6"/>
    <w:rsid w:val="00231F59"/>
    <w:rsid w:val="002416BF"/>
    <w:rsid w:val="00243B3F"/>
    <w:rsid w:val="00255E0F"/>
    <w:rsid w:val="00256491"/>
    <w:rsid w:val="00267B9F"/>
    <w:rsid w:val="00280F82"/>
    <w:rsid w:val="0028536C"/>
    <w:rsid w:val="0028789D"/>
    <w:rsid w:val="002878AB"/>
    <w:rsid w:val="00290E82"/>
    <w:rsid w:val="002A366A"/>
    <w:rsid w:val="002B1302"/>
    <w:rsid w:val="002C0938"/>
    <w:rsid w:val="002C45ED"/>
    <w:rsid w:val="002D0C2F"/>
    <w:rsid w:val="002F000D"/>
    <w:rsid w:val="002F08C4"/>
    <w:rsid w:val="002F0F7E"/>
    <w:rsid w:val="002F3C1D"/>
    <w:rsid w:val="003021B2"/>
    <w:rsid w:val="00316EE5"/>
    <w:rsid w:val="0034215E"/>
    <w:rsid w:val="00355137"/>
    <w:rsid w:val="0037028C"/>
    <w:rsid w:val="0038610A"/>
    <w:rsid w:val="003917EF"/>
    <w:rsid w:val="00392989"/>
    <w:rsid w:val="003A77B5"/>
    <w:rsid w:val="003B000C"/>
    <w:rsid w:val="003B585B"/>
    <w:rsid w:val="003B6360"/>
    <w:rsid w:val="003B6A24"/>
    <w:rsid w:val="003D57C0"/>
    <w:rsid w:val="003E00AF"/>
    <w:rsid w:val="003E510A"/>
    <w:rsid w:val="003F31B5"/>
    <w:rsid w:val="003F5378"/>
    <w:rsid w:val="00422967"/>
    <w:rsid w:val="00433669"/>
    <w:rsid w:val="00447D08"/>
    <w:rsid w:val="004528E5"/>
    <w:rsid w:val="00456D4F"/>
    <w:rsid w:val="00457D6B"/>
    <w:rsid w:val="004716E8"/>
    <w:rsid w:val="004853D8"/>
    <w:rsid w:val="0048540F"/>
    <w:rsid w:val="00485584"/>
    <w:rsid w:val="00491624"/>
    <w:rsid w:val="004B1473"/>
    <w:rsid w:val="004B2944"/>
    <w:rsid w:val="004B46AD"/>
    <w:rsid w:val="004B4FA8"/>
    <w:rsid w:val="004C66D2"/>
    <w:rsid w:val="004D03AC"/>
    <w:rsid w:val="004D0EF6"/>
    <w:rsid w:val="004D43DD"/>
    <w:rsid w:val="004D67DC"/>
    <w:rsid w:val="004E081D"/>
    <w:rsid w:val="004E6042"/>
    <w:rsid w:val="00521886"/>
    <w:rsid w:val="005226DB"/>
    <w:rsid w:val="00524F38"/>
    <w:rsid w:val="00533FE7"/>
    <w:rsid w:val="0053717B"/>
    <w:rsid w:val="005408D3"/>
    <w:rsid w:val="00540C54"/>
    <w:rsid w:val="00560C01"/>
    <w:rsid w:val="00576F6B"/>
    <w:rsid w:val="0057776B"/>
    <w:rsid w:val="005816EB"/>
    <w:rsid w:val="00585093"/>
    <w:rsid w:val="00585246"/>
    <w:rsid w:val="00595555"/>
    <w:rsid w:val="005A33B1"/>
    <w:rsid w:val="005A64F0"/>
    <w:rsid w:val="005C5600"/>
    <w:rsid w:val="005C754D"/>
    <w:rsid w:val="005D0AED"/>
    <w:rsid w:val="005D7A3C"/>
    <w:rsid w:val="005E4356"/>
    <w:rsid w:val="005E47FF"/>
    <w:rsid w:val="00600831"/>
    <w:rsid w:val="00607692"/>
    <w:rsid w:val="0061525D"/>
    <w:rsid w:val="00616ACF"/>
    <w:rsid w:val="0062560F"/>
    <w:rsid w:val="00630741"/>
    <w:rsid w:val="006345A3"/>
    <w:rsid w:val="00657D6C"/>
    <w:rsid w:val="00667191"/>
    <w:rsid w:val="00682558"/>
    <w:rsid w:val="00685649"/>
    <w:rsid w:val="00690372"/>
    <w:rsid w:val="0069574B"/>
    <w:rsid w:val="00696B57"/>
    <w:rsid w:val="006A4E94"/>
    <w:rsid w:val="006C2A1B"/>
    <w:rsid w:val="006C6423"/>
    <w:rsid w:val="006C72E6"/>
    <w:rsid w:val="006D1435"/>
    <w:rsid w:val="006D219B"/>
    <w:rsid w:val="006D5C90"/>
    <w:rsid w:val="006E450C"/>
    <w:rsid w:val="006E4A71"/>
    <w:rsid w:val="006E587F"/>
    <w:rsid w:val="006F0167"/>
    <w:rsid w:val="007035F8"/>
    <w:rsid w:val="0071097A"/>
    <w:rsid w:val="00723633"/>
    <w:rsid w:val="0072730B"/>
    <w:rsid w:val="0073402C"/>
    <w:rsid w:val="00741F01"/>
    <w:rsid w:val="00742870"/>
    <w:rsid w:val="007501C3"/>
    <w:rsid w:val="007564E0"/>
    <w:rsid w:val="00770DCE"/>
    <w:rsid w:val="00785CD3"/>
    <w:rsid w:val="007912C8"/>
    <w:rsid w:val="0079430F"/>
    <w:rsid w:val="00796EDE"/>
    <w:rsid w:val="007A313A"/>
    <w:rsid w:val="007A5B37"/>
    <w:rsid w:val="007B2D9F"/>
    <w:rsid w:val="007C5CCF"/>
    <w:rsid w:val="007E785E"/>
    <w:rsid w:val="007F392A"/>
    <w:rsid w:val="008024D6"/>
    <w:rsid w:val="00807310"/>
    <w:rsid w:val="00814347"/>
    <w:rsid w:val="008304BE"/>
    <w:rsid w:val="00834B74"/>
    <w:rsid w:val="008409C2"/>
    <w:rsid w:val="00842037"/>
    <w:rsid w:val="00862BD0"/>
    <w:rsid w:val="00863789"/>
    <w:rsid w:val="00886BFE"/>
    <w:rsid w:val="0089774D"/>
    <w:rsid w:val="008A3E40"/>
    <w:rsid w:val="008B5C6A"/>
    <w:rsid w:val="008C3E94"/>
    <w:rsid w:val="008C5806"/>
    <w:rsid w:val="008D137F"/>
    <w:rsid w:val="008D3D03"/>
    <w:rsid w:val="008E1102"/>
    <w:rsid w:val="008E1466"/>
    <w:rsid w:val="008F2347"/>
    <w:rsid w:val="00911437"/>
    <w:rsid w:val="0093541E"/>
    <w:rsid w:val="00936AE3"/>
    <w:rsid w:val="00940484"/>
    <w:rsid w:val="00944F21"/>
    <w:rsid w:val="009664C2"/>
    <w:rsid w:val="00971C2E"/>
    <w:rsid w:val="009727F4"/>
    <w:rsid w:val="00980631"/>
    <w:rsid w:val="009936B9"/>
    <w:rsid w:val="009D0A3F"/>
    <w:rsid w:val="009E3537"/>
    <w:rsid w:val="009F1F76"/>
    <w:rsid w:val="009F2FA0"/>
    <w:rsid w:val="009F325D"/>
    <w:rsid w:val="009F3C1A"/>
    <w:rsid w:val="009F61C3"/>
    <w:rsid w:val="00A10FF0"/>
    <w:rsid w:val="00A13003"/>
    <w:rsid w:val="00A150DB"/>
    <w:rsid w:val="00A315DE"/>
    <w:rsid w:val="00A43E89"/>
    <w:rsid w:val="00A465F0"/>
    <w:rsid w:val="00A52659"/>
    <w:rsid w:val="00A54EC7"/>
    <w:rsid w:val="00A57093"/>
    <w:rsid w:val="00A63AD7"/>
    <w:rsid w:val="00A70DC6"/>
    <w:rsid w:val="00A90842"/>
    <w:rsid w:val="00A95320"/>
    <w:rsid w:val="00AA4181"/>
    <w:rsid w:val="00AC4660"/>
    <w:rsid w:val="00AD60B8"/>
    <w:rsid w:val="00AE0173"/>
    <w:rsid w:val="00AE2ED9"/>
    <w:rsid w:val="00AF00AD"/>
    <w:rsid w:val="00AF0986"/>
    <w:rsid w:val="00AF13F4"/>
    <w:rsid w:val="00B05854"/>
    <w:rsid w:val="00B10C72"/>
    <w:rsid w:val="00B14AB1"/>
    <w:rsid w:val="00B17822"/>
    <w:rsid w:val="00B22B16"/>
    <w:rsid w:val="00B35B6B"/>
    <w:rsid w:val="00B36EA0"/>
    <w:rsid w:val="00B42823"/>
    <w:rsid w:val="00B53372"/>
    <w:rsid w:val="00B54509"/>
    <w:rsid w:val="00B60971"/>
    <w:rsid w:val="00B612AB"/>
    <w:rsid w:val="00B63AD5"/>
    <w:rsid w:val="00B733CE"/>
    <w:rsid w:val="00B85F8E"/>
    <w:rsid w:val="00B924D2"/>
    <w:rsid w:val="00B94EDD"/>
    <w:rsid w:val="00B96F77"/>
    <w:rsid w:val="00BA2C8C"/>
    <w:rsid w:val="00BA78C2"/>
    <w:rsid w:val="00BA7E57"/>
    <w:rsid w:val="00BB4BD7"/>
    <w:rsid w:val="00BD3870"/>
    <w:rsid w:val="00BD460D"/>
    <w:rsid w:val="00BD4674"/>
    <w:rsid w:val="00C244D3"/>
    <w:rsid w:val="00C30F3B"/>
    <w:rsid w:val="00C5056F"/>
    <w:rsid w:val="00C5619F"/>
    <w:rsid w:val="00C565FA"/>
    <w:rsid w:val="00C577DA"/>
    <w:rsid w:val="00C75267"/>
    <w:rsid w:val="00C7640B"/>
    <w:rsid w:val="00C86789"/>
    <w:rsid w:val="00C91BAC"/>
    <w:rsid w:val="00CB6176"/>
    <w:rsid w:val="00CC3999"/>
    <w:rsid w:val="00CC4ABB"/>
    <w:rsid w:val="00CC52F8"/>
    <w:rsid w:val="00CC7A54"/>
    <w:rsid w:val="00CD0E60"/>
    <w:rsid w:val="00CD7976"/>
    <w:rsid w:val="00CE774C"/>
    <w:rsid w:val="00CF65F5"/>
    <w:rsid w:val="00D1190C"/>
    <w:rsid w:val="00D14448"/>
    <w:rsid w:val="00D152F8"/>
    <w:rsid w:val="00D15733"/>
    <w:rsid w:val="00D373AE"/>
    <w:rsid w:val="00D43C99"/>
    <w:rsid w:val="00D43DE6"/>
    <w:rsid w:val="00D4640C"/>
    <w:rsid w:val="00D527DB"/>
    <w:rsid w:val="00D528EB"/>
    <w:rsid w:val="00D57704"/>
    <w:rsid w:val="00D647FC"/>
    <w:rsid w:val="00D705CE"/>
    <w:rsid w:val="00D777D9"/>
    <w:rsid w:val="00D81EE1"/>
    <w:rsid w:val="00D8493D"/>
    <w:rsid w:val="00D87DFB"/>
    <w:rsid w:val="00D950FD"/>
    <w:rsid w:val="00D972E3"/>
    <w:rsid w:val="00D97FFC"/>
    <w:rsid w:val="00DA0063"/>
    <w:rsid w:val="00DA07C4"/>
    <w:rsid w:val="00DA189E"/>
    <w:rsid w:val="00DA58CF"/>
    <w:rsid w:val="00DA7423"/>
    <w:rsid w:val="00DD3593"/>
    <w:rsid w:val="00DE29CA"/>
    <w:rsid w:val="00DE363D"/>
    <w:rsid w:val="00E0147B"/>
    <w:rsid w:val="00E027D7"/>
    <w:rsid w:val="00E03341"/>
    <w:rsid w:val="00E040AE"/>
    <w:rsid w:val="00E045D2"/>
    <w:rsid w:val="00E12B6B"/>
    <w:rsid w:val="00E1712E"/>
    <w:rsid w:val="00E21091"/>
    <w:rsid w:val="00E3221B"/>
    <w:rsid w:val="00E36531"/>
    <w:rsid w:val="00E61A8B"/>
    <w:rsid w:val="00E635BE"/>
    <w:rsid w:val="00E679A6"/>
    <w:rsid w:val="00E732B9"/>
    <w:rsid w:val="00E75208"/>
    <w:rsid w:val="00E82A20"/>
    <w:rsid w:val="00E83943"/>
    <w:rsid w:val="00E8406F"/>
    <w:rsid w:val="00EA002B"/>
    <w:rsid w:val="00EB5DAB"/>
    <w:rsid w:val="00EB73CC"/>
    <w:rsid w:val="00EB7C76"/>
    <w:rsid w:val="00EC03D9"/>
    <w:rsid w:val="00ED0971"/>
    <w:rsid w:val="00ED1F87"/>
    <w:rsid w:val="00ED4FF3"/>
    <w:rsid w:val="00EE6932"/>
    <w:rsid w:val="00EF2F1A"/>
    <w:rsid w:val="00EF545D"/>
    <w:rsid w:val="00EF6932"/>
    <w:rsid w:val="00EF75D0"/>
    <w:rsid w:val="00F276FC"/>
    <w:rsid w:val="00F33A3C"/>
    <w:rsid w:val="00F5066A"/>
    <w:rsid w:val="00F51306"/>
    <w:rsid w:val="00F54221"/>
    <w:rsid w:val="00F55278"/>
    <w:rsid w:val="00F763B9"/>
    <w:rsid w:val="00F80E0E"/>
    <w:rsid w:val="00F874E5"/>
    <w:rsid w:val="00F93276"/>
    <w:rsid w:val="00F94B09"/>
    <w:rsid w:val="00FA18CA"/>
    <w:rsid w:val="00FA786E"/>
    <w:rsid w:val="00FC4229"/>
    <w:rsid w:val="00FC6454"/>
    <w:rsid w:val="00FC7200"/>
    <w:rsid w:val="00F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14A41"/>
  <w15:docId w15:val="{79DBDE3D-D1A8-4160-8F17-89C7C498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DC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40C"/>
  </w:style>
  <w:style w:type="paragraph" w:styleId="Piedepgina">
    <w:name w:val="footer"/>
    <w:basedOn w:val="Normal"/>
    <w:link w:val="Piedepgina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40C"/>
  </w:style>
  <w:style w:type="paragraph" w:styleId="Textodeglobo">
    <w:name w:val="Balloon Text"/>
    <w:basedOn w:val="Normal"/>
    <w:link w:val="TextodegloboCar"/>
    <w:uiPriority w:val="99"/>
    <w:semiHidden/>
    <w:unhideWhenUsed/>
    <w:rsid w:val="00D464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4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0D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0DC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63AD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A54EC7"/>
    <w:pPr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Cs w:val="56"/>
      <w:lang w:val="es-ES"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A54EC7"/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 w:val="24"/>
      <w:szCs w:val="56"/>
      <w:lang w:val="es-ES" w:eastAsia="ar-SA"/>
    </w:rPr>
  </w:style>
  <w:style w:type="character" w:customStyle="1" w:styleId="5">
    <w:name w:val="Σώμα κειμένου (5)"/>
    <w:uiPriority w:val="99"/>
    <w:rsid w:val="00785CD3"/>
    <w:rPr>
      <w:rFonts w:ascii="Arial Narrow" w:hAnsi="Arial Narrow" w:cs="Arial Narrow" w:hint="default"/>
      <w:sz w:val="14"/>
      <w:szCs w:val="14"/>
      <w:shd w:val="clear" w:color="auto" w:fill="FFFFFF"/>
    </w:rPr>
  </w:style>
  <w:style w:type="character" w:customStyle="1" w:styleId="7">
    <w:name w:val="Σώμα κειμένου (7)"/>
    <w:uiPriority w:val="99"/>
    <w:rsid w:val="00785CD3"/>
    <w:rPr>
      <w:rFonts w:ascii="Arial Narrow" w:hAnsi="Arial Narrow" w:cs="Arial Narrow" w:hint="default"/>
      <w:b/>
      <w:bCs/>
      <w:sz w:val="16"/>
      <w:szCs w:val="16"/>
      <w:shd w:val="clear" w:color="auto" w:fill="FFFFFF"/>
    </w:rPr>
  </w:style>
  <w:style w:type="character" w:styleId="Hipervnculo">
    <w:name w:val="Hyperlink"/>
    <w:basedOn w:val="Fuentedeprrafopredeter"/>
    <w:uiPriority w:val="99"/>
    <w:unhideWhenUsed/>
    <w:rsid w:val="001A47DF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A4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hotels.co.uk/hotels/royal-national-hot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olidayinnexpressearlscourt.en-london.com/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ll.accor.com/hotel/2082/index.es.s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ll.accor.com/hotel/0634/index.es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mierinn.com/gb/en/hotels/england/greater-london/london/london-hanger-lane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Diaz</dc:creator>
  <cp:lastModifiedBy>Becario03</cp:lastModifiedBy>
  <cp:revision>2</cp:revision>
  <dcterms:created xsi:type="dcterms:W3CDTF">2025-11-26T23:14:00Z</dcterms:created>
  <dcterms:modified xsi:type="dcterms:W3CDTF">2025-11-26T23:14:00Z</dcterms:modified>
</cp:coreProperties>
</file>