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87749" w14:textId="77777777" w:rsidR="00980631" w:rsidRPr="00980631" w:rsidRDefault="00980631" w:rsidP="00377A48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 w:rsidRPr="00980631">
        <w:rPr>
          <w:rFonts w:ascii="Lora Medium" w:hAnsi="Lora Medium"/>
          <w:b/>
          <w:color w:val="E36C0A" w:themeColor="accent6" w:themeShade="BF"/>
          <w:sz w:val="52"/>
          <w:szCs w:val="52"/>
        </w:rPr>
        <w:t>CONTRASTES DE EUROPA</w:t>
      </w:r>
    </w:p>
    <w:p w14:paraId="7BE51B7D" w14:textId="22239ACF" w:rsidR="00D4640C" w:rsidRPr="002416BF" w:rsidRDefault="00980631" w:rsidP="00377A48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12</w:t>
      </w:r>
      <w:r w:rsidR="002416BF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11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09C6D46A" w14:textId="77777777" w:rsidR="00980631" w:rsidRPr="00C037AA" w:rsidRDefault="00980631" w:rsidP="00980631">
      <w:pPr>
        <w:jc w:val="both"/>
        <w:rPr>
          <w:rFonts w:ascii="Arial Narrow" w:hAnsi="Arial Narrow"/>
          <w:b/>
          <w:bCs/>
        </w:rPr>
      </w:pPr>
      <w:r w:rsidRPr="00C037AA">
        <w:rPr>
          <w:rFonts w:ascii="Arial Narrow" w:hAnsi="Arial Narrow"/>
          <w:b/>
          <w:bCs/>
          <w:color w:val="E36C0A" w:themeColor="accent6" w:themeShade="BF"/>
        </w:rPr>
        <w:t>DÍA 1 (MARTES) / CIUDAD DE ORIGEN – LONDRES</w:t>
      </w:r>
    </w:p>
    <w:p w14:paraId="2BCFAF57" w14:textId="77777777" w:rsidR="00980631" w:rsidRPr="00F4463A" w:rsidRDefault="00980631" w:rsidP="0098063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Salida en vuelo intercontinental </w:t>
      </w:r>
      <w:r w:rsidRPr="00F4463A">
        <w:rPr>
          <w:rFonts w:ascii="Arial Narrow" w:hAnsi="Arial Narrow"/>
          <w:bCs/>
        </w:rPr>
        <w:t>con destino Londres. Noche a bordo.</w:t>
      </w:r>
    </w:p>
    <w:p w14:paraId="5986655C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13EB6293" w14:textId="77777777" w:rsidR="00980631" w:rsidRPr="00C037AA" w:rsidRDefault="00980631" w:rsidP="00980631">
      <w:pPr>
        <w:jc w:val="both"/>
        <w:rPr>
          <w:rFonts w:ascii="Arial Narrow" w:hAnsi="Arial Narrow"/>
          <w:b/>
          <w:bCs/>
        </w:rPr>
      </w:pPr>
      <w:r w:rsidRPr="00C037AA">
        <w:rPr>
          <w:rFonts w:ascii="Arial Narrow" w:hAnsi="Arial Narrow"/>
          <w:b/>
          <w:bCs/>
          <w:color w:val="E36C0A" w:themeColor="accent6" w:themeShade="BF"/>
        </w:rPr>
        <w:t>DÍA 2 (MIÉRCOLES) / LONDRES</w:t>
      </w:r>
    </w:p>
    <w:p w14:paraId="4831674F" w14:textId="77777777" w:rsidR="00980631" w:rsidRPr="00F4463A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Llegada al aero</w:t>
      </w:r>
      <w:r>
        <w:rPr>
          <w:rFonts w:ascii="Arial Narrow" w:hAnsi="Arial Narrow"/>
          <w:bCs/>
        </w:rPr>
        <w:t xml:space="preserve">puerto de Londres y traslado al </w:t>
      </w:r>
      <w:r w:rsidRPr="00F4463A">
        <w:rPr>
          <w:rFonts w:ascii="Arial Narrow" w:hAnsi="Arial Narrow"/>
          <w:bCs/>
        </w:rPr>
        <w:t>hotel. Día lib</w:t>
      </w:r>
      <w:r>
        <w:rPr>
          <w:rFonts w:ascii="Arial Narrow" w:hAnsi="Arial Narrow"/>
          <w:bCs/>
        </w:rPr>
        <w:t xml:space="preserve">re para comenzar a conocer esta </w:t>
      </w:r>
      <w:r w:rsidRPr="00F4463A">
        <w:rPr>
          <w:rFonts w:ascii="Arial Narrow" w:hAnsi="Arial Narrow"/>
          <w:bCs/>
        </w:rPr>
        <w:t>ciudad cosmopolita, rica en historia y re</w:t>
      </w:r>
      <w:r>
        <w:rPr>
          <w:rFonts w:ascii="Arial Narrow" w:hAnsi="Arial Narrow"/>
          <w:bCs/>
        </w:rPr>
        <w:t xml:space="preserve">aleza. </w:t>
      </w:r>
      <w:r w:rsidRPr="00F4463A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F4463A">
        <w:rPr>
          <w:rFonts w:ascii="Arial Narrow" w:hAnsi="Arial Narrow"/>
          <w:bCs/>
        </w:rPr>
        <w:t>.</w:t>
      </w:r>
    </w:p>
    <w:p w14:paraId="2A552D99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20C30FA4" w14:textId="77777777" w:rsidR="00980631" w:rsidRPr="00C037AA" w:rsidRDefault="00980631" w:rsidP="00980631">
      <w:pPr>
        <w:jc w:val="both"/>
        <w:rPr>
          <w:rFonts w:ascii="Arial Narrow" w:hAnsi="Arial Narrow"/>
          <w:b/>
          <w:bCs/>
        </w:rPr>
      </w:pPr>
      <w:r w:rsidRPr="00C037AA">
        <w:rPr>
          <w:rFonts w:ascii="Arial Narrow" w:hAnsi="Arial Narrow"/>
          <w:b/>
          <w:bCs/>
          <w:color w:val="E36C0A" w:themeColor="accent6" w:themeShade="BF"/>
        </w:rPr>
        <w:t>DÍA 3 (JUEVES) / LONDRES</w:t>
      </w:r>
    </w:p>
    <w:p w14:paraId="763BBDDF" w14:textId="77777777" w:rsidR="00980631" w:rsidRPr="00F4463A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F4463A">
        <w:rPr>
          <w:rFonts w:ascii="Arial Narrow" w:hAnsi="Arial Narrow"/>
          <w:bCs/>
        </w:rPr>
        <w:t xml:space="preserve">. Por </w:t>
      </w:r>
      <w:r>
        <w:rPr>
          <w:rFonts w:ascii="Arial Narrow" w:hAnsi="Arial Narrow"/>
          <w:bCs/>
        </w:rPr>
        <w:t xml:space="preserve">la mañana, visita panorámica de </w:t>
      </w:r>
      <w:r w:rsidRPr="00F4463A">
        <w:rPr>
          <w:rFonts w:ascii="Arial Narrow" w:hAnsi="Arial Narrow"/>
          <w:bCs/>
        </w:rPr>
        <w:t>la capital del Reino Unido, recorriendo sus principales avenidas y monumentos Piccadilly Circus, Oxford Stre</w:t>
      </w:r>
      <w:r>
        <w:rPr>
          <w:rFonts w:ascii="Arial Narrow" w:hAnsi="Arial Narrow"/>
          <w:bCs/>
        </w:rPr>
        <w:t xml:space="preserve">et, Trafalgar Square, Abadía de </w:t>
      </w:r>
      <w:r w:rsidRPr="00F4463A">
        <w:rPr>
          <w:rFonts w:ascii="Arial Narrow" w:hAnsi="Arial Narrow"/>
          <w:bCs/>
        </w:rPr>
        <w:t xml:space="preserve">Westminster y terminando </w:t>
      </w:r>
      <w:r>
        <w:rPr>
          <w:rFonts w:ascii="Arial Narrow" w:hAnsi="Arial Narrow"/>
          <w:bCs/>
        </w:rPr>
        <w:t xml:space="preserve">frente al palacio de </w:t>
      </w:r>
      <w:r w:rsidRPr="00F4463A">
        <w:rPr>
          <w:rFonts w:ascii="Arial Narrow" w:hAnsi="Arial Narrow"/>
          <w:bCs/>
        </w:rPr>
        <w:t>Buckingham pa</w:t>
      </w:r>
      <w:r>
        <w:rPr>
          <w:rFonts w:ascii="Arial Narrow" w:hAnsi="Arial Narrow"/>
          <w:bCs/>
        </w:rPr>
        <w:t xml:space="preserve">ra asistir al cambio de guardia </w:t>
      </w:r>
      <w:r w:rsidRPr="00F4463A">
        <w:rPr>
          <w:rFonts w:ascii="Arial Narrow" w:hAnsi="Arial Narrow"/>
          <w:bCs/>
        </w:rPr>
        <w:t>si se realiza en e</w:t>
      </w:r>
      <w:r>
        <w:rPr>
          <w:rFonts w:ascii="Arial Narrow" w:hAnsi="Arial Narrow"/>
          <w:bCs/>
        </w:rPr>
        <w:t xml:space="preserve">se día. Tarde libre para seguir </w:t>
      </w:r>
      <w:r w:rsidRPr="00F4463A">
        <w:rPr>
          <w:rFonts w:ascii="Arial Narrow" w:hAnsi="Arial Narrow"/>
          <w:bCs/>
        </w:rPr>
        <w:t>disfrutando de una de las ca</w:t>
      </w:r>
      <w:r>
        <w:rPr>
          <w:rFonts w:ascii="Arial Narrow" w:hAnsi="Arial Narrow"/>
          <w:bCs/>
        </w:rPr>
        <w:t xml:space="preserve">pitales más animadas del mundo. </w:t>
      </w:r>
      <w:r w:rsidRPr="00F4463A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hotel.</w:t>
      </w:r>
    </w:p>
    <w:p w14:paraId="6CF01629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518F105D" w14:textId="77777777" w:rsidR="00980631" w:rsidRPr="007B1B93" w:rsidRDefault="00980631" w:rsidP="00980631">
      <w:pPr>
        <w:jc w:val="both"/>
        <w:rPr>
          <w:rFonts w:ascii="Arial Narrow" w:hAnsi="Arial Narrow"/>
          <w:b/>
          <w:bCs/>
        </w:rPr>
      </w:pPr>
      <w:r w:rsidRPr="007B1B93">
        <w:rPr>
          <w:rFonts w:ascii="Arial Narrow" w:hAnsi="Arial Narrow"/>
          <w:b/>
          <w:bCs/>
          <w:color w:val="E36C0A" w:themeColor="accent6" w:themeShade="BF"/>
        </w:rPr>
        <w:t>DÍA 4 (VIERNES) / LONDRES – PARÍS</w:t>
      </w:r>
    </w:p>
    <w:p w14:paraId="7873A828" w14:textId="77777777" w:rsidR="00980631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F4463A">
        <w:rPr>
          <w:rFonts w:ascii="Arial Narrow" w:hAnsi="Arial Narrow"/>
          <w:bCs/>
        </w:rPr>
        <w:t>alida hacia Folkeston</w:t>
      </w:r>
      <w:r>
        <w:rPr>
          <w:rFonts w:ascii="Arial Narrow" w:hAnsi="Arial Narrow"/>
          <w:bCs/>
        </w:rPr>
        <w:t xml:space="preserve">e para tomar </w:t>
      </w:r>
      <w:r w:rsidRPr="00F4463A">
        <w:rPr>
          <w:rFonts w:ascii="Arial Narrow" w:hAnsi="Arial Narrow"/>
          <w:bCs/>
        </w:rPr>
        <w:t>el Eurotunnel po</w:t>
      </w:r>
      <w:r>
        <w:rPr>
          <w:rFonts w:ascii="Arial Narrow" w:hAnsi="Arial Narrow"/>
          <w:bCs/>
        </w:rPr>
        <w:t xml:space="preserve">r debajo del Canal de la Mancha </w:t>
      </w:r>
      <w:r w:rsidRPr="00F4463A">
        <w:rPr>
          <w:rFonts w:ascii="Arial Narrow" w:hAnsi="Arial Narrow"/>
          <w:bCs/>
        </w:rPr>
        <w:t>(en algunas salidas</w:t>
      </w:r>
      <w:r>
        <w:rPr>
          <w:rFonts w:ascii="Arial Narrow" w:hAnsi="Arial Narrow"/>
          <w:bCs/>
        </w:rPr>
        <w:t xml:space="preserve"> en ferry), llegando a Calais y </w:t>
      </w:r>
      <w:r w:rsidRPr="00F4463A">
        <w:rPr>
          <w:rFonts w:ascii="Arial Narrow" w:hAnsi="Arial Narrow"/>
          <w:bCs/>
        </w:rPr>
        <w:t xml:space="preserve">continuando por carretera a París, donde llegaremos a media tarde. A última hora de la tarde salida para </w:t>
      </w:r>
      <w:r>
        <w:rPr>
          <w:rFonts w:ascii="Arial Narrow" w:hAnsi="Arial Narrow"/>
          <w:bCs/>
        </w:rPr>
        <w:t xml:space="preserve">hacer un recorrido por el París </w:t>
      </w:r>
      <w:r w:rsidRPr="00F4463A">
        <w:rPr>
          <w:rFonts w:ascii="Arial Narrow" w:hAnsi="Arial Narrow"/>
          <w:bCs/>
        </w:rPr>
        <w:t xml:space="preserve">iluminado (en primavera </w:t>
      </w:r>
      <w:r>
        <w:rPr>
          <w:rFonts w:ascii="Arial Narrow" w:hAnsi="Arial Narrow"/>
          <w:bCs/>
        </w:rPr>
        <w:t xml:space="preserve">y verano, las visitas se podrán </w:t>
      </w:r>
      <w:r w:rsidRPr="00F4463A">
        <w:rPr>
          <w:rFonts w:ascii="Arial Narrow" w:hAnsi="Arial Narrow"/>
          <w:bCs/>
        </w:rPr>
        <w:t>realiz</w:t>
      </w:r>
      <w:r>
        <w:rPr>
          <w:rFonts w:ascii="Arial Narrow" w:hAnsi="Arial Narrow"/>
          <w:bCs/>
        </w:rPr>
        <w:t xml:space="preserve">ar parcialmente con luz solar). </w:t>
      </w:r>
      <w:r w:rsidRPr="00F4463A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F4463A">
        <w:rPr>
          <w:rFonts w:ascii="Arial Narrow" w:hAnsi="Arial Narrow"/>
          <w:bCs/>
        </w:rPr>
        <w:t>.</w:t>
      </w:r>
    </w:p>
    <w:p w14:paraId="080707B6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10BF8A4A" w14:textId="77777777" w:rsidR="00980631" w:rsidRPr="007B1B93" w:rsidRDefault="00980631" w:rsidP="00980631">
      <w:pPr>
        <w:jc w:val="both"/>
        <w:rPr>
          <w:rFonts w:ascii="Arial Narrow" w:hAnsi="Arial Narrow"/>
          <w:b/>
          <w:bCs/>
        </w:rPr>
      </w:pPr>
      <w:r w:rsidRPr="007B1B93">
        <w:rPr>
          <w:rFonts w:ascii="Arial Narrow" w:hAnsi="Arial Narrow"/>
          <w:b/>
          <w:bCs/>
          <w:color w:val="E36C0A" w:themeColor="accent6" w:themeShade="BF"/>
        </w:rPr>
        <w:t>DÍA 5 (SÁBADO) / PARÍS</w:t>
      </w:r>
    </w:p>
    <w:p w14:paraId="1F290310" w14:textId="77777777" w:rsidR="00980631" w:rsidRPr="00F4463A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F4463A">
        <w:rPr>
          <w:rFonts w:ascii="Arial Narrow" w:hAnsi="Arial Narrow"/>
          <w:bCs/>
        </w:rPr>
        <w:t xml:space="preserve">. Por </w:t>
      </w:r>
      <w:r>
        <w:rPr>
          <w:rFonts w:ascii="Arial Narrow" w:hAnsi="Arial Narrow"/>
          <w:bCs/>
        </w:rPr>
        <w:t xml:space="preserve">la mañana, visita panorámica de </w:t>
      </w:r>
      <w:r w:rsidRPr="00F4463A">
        <w:rPr>
          <w:rFonts w:ascii="Arial Narrow" w:hAnsi="Arial Narrow"/>
          <w:bCs/>
        </w:rPr>
        <w:t>la “Ciudad de</w:t>
      </w:r>
      <w:r>
        <w:rPr>
          <w:rFonts w:ascii="Arial Narrow" w:hAnsi="Arial Narrow"/>
          <w:bCs/>
        </w:rPr>
        <w:t xml:space="preserve"> la Luz” donde recorreremos sus </w:t>
      </w:r>
      <w:r w:rsidRPr="00F4463A">
        <w:rPr>
          <w:rFonts w:ascii="Arial Narrow" w:hAnsi="Arial Narrow"/>
          <w:bCs/>
        </w:rPr>
        <w:t>lugares más emblemáticos. Tarde libre. Recomenda</w:t>
      </w:r>
      <w:r>
        <w:rPr>
          <w:rFonts w:ascii="Arial Narrow" w:hAnsi="Arial Narrow"/>
          <w:bCs/>
        </w:rPr>
        <w:t xml:space="preserve">mos realizar la visita opcional </w:t>
      </w:r>
      <w:r w:rsidRPr="00F4463A">
        <w:rPr>
          <w:rFonts w:ascii="Arial Narrow" w:hAnsi="Arial Narrow"/>
          <w:bCs/>
        </w:rPr>
        <w:t>del carismático barrio de</w:t>
      </w:r>
      <w:r>
        <w:rPr>
          <w:rFonts w:ascii="Arial Narrow" w:hAnsi="Arial Narrow"/>
          <w:bCs/>
        </w:rPr>
        <w:t xml:space="preserve"> Montmartre y el barrio Latino. </w:t>
      </w:r>
      <w:r w:rsidRPr="00F4463A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hotel.</w:t>
      </w:r>
    </w:p>
    <w:p w14:paraId="03674FE9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2D7161FB" w14:textId="77777777" w:rsidR="00980631" w:rsidRPr="007B1B93" w:rsidRDefault="00980631" w:rsidP="00980631">
      <w:pPr>
        <w:jc w:val="both"/>
        <w:rPr>
          <w:rFonts w:ascii="Arial Narrow" w:hAnsi="Arial Narrow"/>
          <w:b/>
          <w:bCs/>
        </w:rPr>
      </w:pPr>
      <w:r w:rsidRPr="007B1B93">
        <w:rPr>
          <w:rFonts w:ascii="Arial Narrow" w:hAnsi="Arial Narrow"/>
          <w:b/>
          <w:bCs/>
          <w:color w:val="E36C0A" w:themeColor="accent6" w:themeShade="BF"/>
        </w:rPr>
        <w:t>DÍA 6 (DOMINGO) / PARÍS</w:t>
      </w:r>
    </w:p>
    <w:p w14:paraId="71C8A6D5" w14:textId="77777777" w:rsidR="00980631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F4463A">
        <w:rPr>
          <w:rFonts w:ascii="Arial Narrow" w:hAnsi="Arial Narrow"/>
          <w:bCs/>
        </w:rPr>
        <w:t>Duran</w:t>
      </w:r>
      <w:r>
        <w:rPr>
          <w:rFonts w:ascii="Arial Narrow" w:hAnsi="Arial Narrow"/>
          <w:bCs/>
        </w:rPr>
        <w:t xml:space="preserve">te este día, podremos disfrutar </w:t>
      </w:r>
      <w:r w:rsidRPr="00F4463A">
        <w:rPr>
          <w:rFonts w:ascii="Arial Narrow" w:hAnsi="Arial Narrow"/>
          <w:bCs/>
        </w:rPr>
        <w:t>a nuestro aire de</w:t>
      </w:r>
      <w:r>
        <w:rPr>
          <w:rFonts w:ascii="Arial Narrow" w:hAnsi="Arial Narrow"/>
          <w:bCs/>
        </w:rPr>
        <w:t xml:space="preserve"> la hermosa ciudad, sus paseos, </w:t>
      </w:r>
      <w:r w:rsidRPr="00F4463A">
        <w:rPr>
          <w:rFonts w:ascii="Arial Narrow" w:hAnsi="Arial Narrow"/>
          <w:bCs/>
        </w:rPr>
        <w:t>sus bulevares y conocer sus rincones más típicos como u</w:t>
      </w:r>
      <w:r>
        <w:rPr>
          <w:rFonts w:ascii="Arial Narrow" w:hAnsi="Arial Narrow"/>
          <w:bCs/>
        </w:rPr>
        <w:t xml:space="preserve">n auténtico parisino. Sugerimos </w:t>
      </w:r>
      <w:r w:rsidRPr="00F4463A">
        <w:rPr>
          <w:rFonts w:ascii="Arial Narrow" w:hAnsi="Arial Narrow"/>
          <w:bCs/>
        </w:rPr>
        <w:t xml:space="preserve">hacer una visita </w:t>
      </w:r>
      <w:r>
        <w:rPr>
          <w:rFonts w:ascii="Arial Narrow" w:hAnsi="Arial Narrow"/>
          <w:bCs/>
        </w:rPr>
        <w:t xml:space="preserve">opcional a Versalles para poder </w:t>
      </w:r>
      <w:r w:rsidRPr="00F4463A">
        <w:rPr>
          <w:rFonts w:ascii="Arial Narrow" w:hAnsi="Arial Narrow"/>
          <w:bCs/>
        </w:rPr>
        <w:t>visitar su mu</w:t>
      </w:r>
      <w:r>
        <w:rPr>
          <w:rFonts w:ascii="Arial Narrow" w:hAnsi="Arial Narrow"/>
          <w:bCs/>
        </w:rPr>
        <w:t xml:space="preserve">ndialmente famoso Palacio y sus </w:t>
      </w:r>
      <w:r w:rsidRPr="00F4463A">
        <w:rPr>
          <w:rFonts w:ascii="Arial Narrow" w:hAnsi="Arial Narrow"/>
          <w:bCs/>
        </w:rPr>
        <w:t>bellos jardines. Alojamiento</w:t>
      </w:r>
      <w:r>
        <w:rPr>
          <w:rFonts w:ascii="Arial Narrow" w:hAnsi="Arial Narrow"/>
          <w:bCs/>
        </w:rPr>
        <w:t xml:space="preserve"> en el hotel.</w:t>
      </w:r>
    </w:p>
    <w:p w14:paraId="39B5329D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776386FA" w14:textId="77777777" w:rsidR="00980631" w:rsidRPr="007B1B93" w:rsidRDefault="00980631" w:rsidP="00980631">
      <w:pPr>
        <w:jc w:val="both"/>
        <w:rPr>
          <w:rFonts w:ascii="Arial Narrow" w:hAnsi="Arial Narrow"/>
          <w:b/>
          <w:bCs/>
        </w:rPr>
      </w:pPr>
      <w:r w:rsidRPr="007B1B93">
        <w:rPr>
          <w:rFonts w:ascii="Arial Narrow" w:hAnsi="Arial Narrow"/>
          <w:b/>
          <w:bCs/>
          <w:color w:val="E36C0A" w:themeColor="accent6" w:themeShade="BF"/>
        </w:rPr>
        <w:t>DÍA 7 (LUNES) / PARÍS – BRUSELAS</w:t>
      </w:r>
    </w:p>
    <w:p w14:paraId="403E0BC6" w14:textId="77777777" w:rsidR="00980631" w:rsidRPr="00F4463A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Salida hacia Bruselas. Llegada y </w:t>
      </w:r>
      <w:r w:rsidRPr="00F4463A">
        <w:rPr>
          <w:rFonts w:ascii="Arial Narrow" w:hAnsi="Arial Narrow"/>
          <w:bCs/>
        </w:rPr>
        <w:t>visita panorám</w:t>
      </w:r>
      <w:r>
        <w:rPr>
          <w:rFonts w:ascii="Arial Narrow" w:hAnsi="Arial Narrow"/>
          <w:bCs/>
        </w:rPr>
        <w:t xml:space="preserve">ica de la ciudad. Tiempo libre. </w:t>
      </w:r>
      <w:r w:rsidRPr="00F4463A">
        <w:rPr>
          <w:rFonts w:ascii="Arial Narrow" w:hAnsi="Arial Narrow"/>
          <w:bCs/>
        </w:rPr>
        <w:t>Alojamiento</w:t>
      </w:r>
      <w:r>
        <w:rPr>
          <w:rFonts w:ascii="Arial Narrow" w:hAnsi="Arial Narrow"/>
          <w:bCs/>
        </w:rPr>
        <w:t xml:space="preserve"> en el hotel</w:t>
      </w:r>
      <w:r w:rsidRPr="00F4463A">
        <w:rPr>
          <w:rFonts w:ascii="Arial Narrow" w:hAnsi="Arial Narrow"/>
          <w:bCs/>
        </w:rPr>
        <w:t>.</w:t>
      </w:r>
    </w:p>
    <w:p w14:paraId="27567496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0E125343" w14:textId="77777777" w:rsidR="00980631" w:rsidRPr="007B1B93" w:rsidRDefault="00980631" w:rsidP="00980631">
      <w:pPr>
        <w:jc w:val="both"/>
        <w:rPr>
          <w:rFonts w:ascii="Arial Narrow" w:hAnsi="Arial Narrow"/>
          <w:b/>
          <w:bCs/>
        </w:rPr>
      </w:pPr>
      <w:r w:rsidRPr="007B1B93">
        <w:rPr>
          <w:rFonts w:ascii="Arial Narrow" w:hAnsi="Arial Narrow"/>
          <w:b/>
          <w:bCs/>
          <w:color w:val="E36C0A" w:themeColor="accent6" w:themeShade="BF"/>
        </w:rPr>
        <w:t>DÍA 8 (MARTES) / BRUSELAS – GANTE – BRUJAS</w:t>
      </w:r>
    </w:p>
    <w:p w14:paraId="7010DAFF" w14:textId="5DF9F933" w:rsidR="00980631" w:rsidRPr="00F4463A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F4463A">
        <w:rPr>
          <w:rFonts w:ascii="Arial Narrow" w:hAnsi="Arial Narrow"/>
          <w:bCs/>
        </w:rPr>
        <w:t>alid</w:t>
      </w:r>
      <w:r>
        <w:rPr>
          <w:rFonts w:ascii="Arial Narrow" w:hAnsi="Arial Narrow"/>
          <w:bCs/>
        </w:rPr>
        <w:t xml:space="preserve">a hacia la ciudad de Gante, con </w:t>
      </w:r>
      <w:r w:rsidRPr="00F4463A">
        <w:rPr>
          <w:rFonts w:ascii="Arial Narrow" w:hAnsi="Arial Narrow"/>
          <w:bCs/>
        </w:rPr>
        <w:t>su magníf</w:t>
      </w:r>
      <w:r>
        <w:rPr>
          <w:rFonts w:ascii="Arial Narrow" w:hAnsi="Arial Narrow"/>
          <w:bCs/>
        </w:rPr>
        <w:t xml:space="preserve">ica catedral y casco antiguo de </w:t>
      </w:r>
      <w:r w:rsidRPr="00F4463A">
        <w:rPr>
          <w:rFonts w:ascii="Arial Narrow" w:hAnsi="Arial Narrow"/>
          <w:bCs/>
        </w:rPr>
        <w:t>ambiente medieva</w:t>
      </w:r>
      <w:r>
        <w:rPr>
          <w:rFonts w:ascii="Arial Narrow" w:hAnsi="Arial Narrow"/>
          <w:bCs/>
        </w:rPr>
        <w:t xml:space="preserve">l. Tiempo libre para pasear por </w:t>
      </w:r>
      <w:r w:rsidRPr="00F4463A">
        <w:rPr>
          <w:rFonts w:ascii="Arial Narrow" w:hAnsi="Arial Narrow"/>
          <w:bCs/>
        </w:rPr>
        <w:t>la ciudad y continu</w:t>
      </w:r>
      <w:r>
        <w:rPr>
          <w:rFonts w:ascii="Arial Narrow" w:hAnsi="Arial Narrow"/>
          <w:bCs/>
        </w:rPr>
        <w:t xml:space="preserve">ación a Brujas, preciosa ciudad </w:t>
      </w:r>
      <w:r w:rsidRPr="00F4463A">
        <w:rPr>
          <w:rFonts w:ascii="Arial Narrow" w:hAnsi="Arial Narrow"/>
          <w:bCs/>
        </w:rPr>
        <w:t>con sus innume</w:t>
      </w:r>
      <w:r>
        <w:rPr>
          <w:rFonts w:ascii="Arial Narrow" w:hAnsi="Arial Narrow"/>
          <w:bCs/>
        </w:rPr>
        <w:t xml:space="preserve">rables canales. Visita de la </w:t>
      </w:r>
      <w:r w:rsidRPr="00F4463A">
        <w:rPr>
          <w:rFonts w:ascii="Arial Narrow" w:hAnsi="Arial Narrow"/>
          <w:bCs/>
        </w:rPr>
        <w:t>ciudad, el Lago de Amor y el Be</w:t>
      </w:r>
      <w:r>
        <w:rPr>
          <w:rFonts w:ascii="Arial Narrow" w:hAnsi="Arial Narrow"/>
          <w:bCs/>
        </w:rPr>
        <w:t xml:space="preserve">aterio, la Plaza </w:t>
      </w:r>
      <w:r w:rsidRPr="00F4463A">
        <w:rPr>
          <w:rFonts w:ascii="Arial Narrow" w:hAnsi="Arial Narrow"/>
          <w:bCs/>
        </w:rPr>
        <w:t>Mayor y Atalaya. Posibilidad de hacer opcionalmente un paseo en barco por los canales. Alojamiento</w:t>
      </w:r>
      <w:r>
        <w:rPr>
          <w:rFonts w:ascii="Arial Narrow" w:hAnsi="Arial Narrow"/>
          <w:bCs/>
        </w:rPr>
        <w:t>.</w:t>
      </w:r>
    </w:p>
    <w:p w14:paraId="51AE688A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2AED525F" w14:textId="6F26ABE5" w:rsidR="00980631" w:rsidRPr="007B1B93" w:rsidRDefault="00980631" w:rsidP="00980631">
      <w:pPr>
        <w:jc w:val="both"/>
        <w:rPr>
          <w:rFonts w:ascii="Arial Narrow" w:hAnsi="Arial Narrow"/>
          <w:b/>
          <w:bCs/>
        </w:rPr>
      </w:pPr>
      <w:r w:rsidRPr="007B1B93">
        <w:rPr>
          <w:rFonts w:ascii="Arial Narrow" w:hAnsi="Arial Narrow"/>
          <w:b/>
          <w:bCs/>
          <w:color w:val="E36C0A" w:themeColor="accent6" w:themeShade="BF"/>
        </w:rPr>
        <w:lastRenderedPageBreak/>
        <w:t>DÍA 9 (MIÉRCOLES) / BRUJAS – AMBERES – LA HAYA – ÁMSTERDAM</w:t>
      </w:r>
    </w:p>
    <w:p w14:paraId="6D7DD0FD" w14:textId="77777777" w:rsidR="00980631" w:rsidRPr="00F4463A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Salida para Amberes, el segundo </w:t>
      </w:r>
      <w:r w:rsidRPr="00F4463A">
        <w:rPr>
          <w:rFonts w:ascii="Arial Narrow" w:hAnsi="Arial Narrow"/>
          <w:bCs/>
        </w:rPr>
        <w:t xml:space="preserve">puerto más importante de Europa y el </w:t>
      </w:r>
      <w:r>
        <w:rPr>
          <w:rFonts w:ascii="Arial Narrow" w:hAnsi="Arial Narrow"/>
          <w:bCs/>
        </w:rPr>
        <w:t xml:space="preserve">mercado </w:t>
      </w:r>
      <w:r w:rsidRPr="00F4463A">
        <w:rPr>
          <w:rFonts w:ascii="Arial Narrow" w:hAnsi="Arial Narrow"/>
          <w:bCs/>
        </w:rPr>
        <w:t xml:space="preserve">de diamantes más importante de la Europa Occidental. Tiempo </w:t>
      </w:r>
      <w:r>
        <w:rPr>
          <w:rFonts w:ascii="Arial Narrow" w:hAnsi="Arial Narrow"/>
          <w:bCs/>
        </w:rPr>
        <w:t xml:space="preserve">libre y continuación a La Haya. </w:t>
      </w:r>
      <w:r w:rsidRPr="00F4463A">
        <w:rPr>
          <w:rFonts w:ascii="Arial Narrow" w:hAnsi="Arial Narrow"/>
          <w:bCs/>
        </w:rPr>
        <w:t>Llegada a Ámsterdam al mediodía. Por la tarde</w:t>
      </w:r>
      <w:r>
        <w:rPr>
          <w:rFonts w:ascii="Arial Narrow" w:hAnsi="Arial Narrow"/>
          <w:bCs/>
        </w:rPr>
        <w:t>,</w:t>
      </w:r>
      <w:r w:rsidRPr="00F4463A">
        <w:rPr>
          <w:rFonts w:ascii="Arial Narrow" w:hAnsi="Arial Narrow"/>
          <w:bCs/>
        </w:rPr>
        <w:t xml:space="preserve"> salida para ef</w:t>
      </w:r>
      <w:r>
        <w:rPr>
          <w:rFonts w:ascii="Arial Narrow" w:hAnsi="Arial Narrow"/>
          <w:bCs/>
        </w:rPr>
        <w:t xml:space="preserve">ectuar la visita de la ciudad a </w:t>
      </w:r>
      <w:r w:rsidRPr="00F4463A">
        <w:rPr>
          <w:rFonts w:ascii="Arial Narrow" w:hAnsi="Arial Narrow"/>
          <w:bCs/>
        </w:rPr>
        <w:t xml:space="preserve">bordo de un </w:t>
      </w:r>
      <w:r>
        <w:rPr>
          <w:rFonts w:ascii="Arial Narrow" w:hAnsi="Arial Narrow"/>
          <w:bCs/>
        </w:rPr>
        <w:t xml:space="preserve">barco que nos conducirá por sus </w:t>
      </w:r>
      <w:r w:rsidRPr="00F4463A">
        <w:rPr>
          <w:rFonts w:ascii="Arial Narrow" w:hAnsi="Arial Narrow"/>
          <w:bCs/>
        </w:rPr>
        <w:t>canales, finaliz</w:t>
      </w:r>
      <w:r>
        <w:rPr>
          <w:rFonts w:ascii="Arial Narrow" w:hAnsi="Arial Narrow"/>
          <w:bCs/>
        </w:rPr>
        <w:t xml:space="preserve">ando en una fábrica de talla de </w:t>
      </w:r>
      <w:r w:rsidRPr="00F4463A">
        <w:rPr>
          <w:rFonts w:ascii="Arial Narrow" w:hAnsi="Arial Narrow"/>
          <w:bCs/>
        </w:rPr>
        <w:t>diamantes. Alojamiento</w:t>
      </w:r>
      <w:r>
        <w:rPr>
          <w:rFonts w:ascii="Arial Narrow" w:hAnsi="Arial Narrow"/>
          <w:bCs/>
        </w:rPr>
        <w:t xml:space="preserve"> en el hotel</w:t>
      </w:r>
      <w:r w:rsidRPr="00F4463A">
        <w:rPr>
          <w:rFonts w:ascii="Arial Narrow" w:hAnsi="Arial Narrow"/>
          <w:bCs/>
        </w:rPr>
        <w:t>.</w:t>
      </w:r>
    </w:p>
    <w:p w14:paraId="0EC768E2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130F5A08" w14:textId="77777777" w:rsidR="00980631" w:rsidRPr="007B1B93" w:rsidRDefault="00980631" w:rsidP="00980631">
      <w:pPr>
        <w:jc w:val="both"/>
        <w:rPr>
          <w:rFonts w:ascii="Arial Narrow" w:hAnsi="Arial Narrow"/>
          <w:b/>
          <w:bCs/>
        </w:rPr>
      </w:pPr>
      <w:r w:rsidRPr="007B1B93">
        <w:rPr>
          <w:rFonts w:ascii="Arial Narrow" w:hAnsi="Arial Narrow"/>
          <w:b/>
          <w:bCs/>
          <w:color w:val="E36C0A" w:themeColor="accent6" w:themeShade="BF"/>
        </w:rPr>
        <w:t>DÍA 10 (JUEVES) / ÁMSTERDAM</w:t>
      </w:r>
    </w:p>
    <w:p w14:paraId="4EFD93A9" w14:textId="77777777" w:rsidR="00980631" w:rsidRPr="00F4463A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F4463A">
        <w:rPr>
          <w:rFonts w:ascii="Arial Narrow" w:hAnsi="Arial Narrow"/>
          <w:bCs/>
        </w:rPr>
        <w:t>Brev</w:t>
      </w:r>
      <w:r>
        <w:rPr>
          <w:rFonts w:ascii="Arial Narrow" w:hAnsi="Arial Narrow"/>
          <w:bCs/>
        </w:rPr>
        <w:t xml:space="preserve">e visita panorámica en bus. Día </w:t>
      </w:r>
      <w:r w:rsidRPr="00F4463A">
        <w:rPr>
          <w:rFonts w:ascii="Arial Narrow" w:hAnsi="Arial Narrow"/>
          <w:bCs/>
        </w:rPr>
        <w:t>libre para disfr</w:t>
      </w:r>
      <w:r>
        <w:rPr>
          <w:rFonts w:ascii="Arial Narrow" w:hAnsi="Arial Narrow"/>
          <w:bCs/>
        </w:rPr>
        <w:t xml:space="preserve">utar de una de las ciudades más </w:t>
      </w:r>
      <w:r w:rsidRPr="00F4463A">
        <w:rPr>
          <w:rFonts w:ascii="Arial Narrow" w:hAnsi="Arial Narrow"/>
          <w:bCs/>
        </w:rPr>
        <w:t>bellas y románticas de Europa. Alojamiento</w:t>
      </w:r>
      <w:r>
        <w:rPr>
          <w:rFonts w:ascii="Arial Narrow" w:hAnsi="Arial Narrow"/>
          <w:bCs/>
        </w:rPr>
        <w:t xml:space="preserve"> en el hotel</w:t>
      </w:r>
      <w:r w:rsidRPr="00F4463A">
        <w:rPr>
          <w:rFonts w:ascii="Arial Narrow" w:hAnsi="Arial Narrow"/>
          <w:bCs/>
        </w:rPr>
        <w:t>.</w:t>
      </w:r>
    </w:p>
    <w:p w14:paraId="7116A16B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0C3B7CB6" w14:textId="77777777" w:rsidR="00980631" w:rsidRPr="007B1B93" w:rsidRDefault="00980631" w:rsidP="00980631">
      <w:pPr>
        <w:jc w:val="both"/>
        <w:rPr>
          <w:rFonts w:ascii="Arial Narrow" w:hAnsi="Arial Narrow"/>
          <w:b/>
          <w:bCs/>
        </w:rPr>
      </w:pPr>
      <w:r w:rsidRPr="007B1B93">
        <w:rPr>
          <w:rFonts w:ascii="Arial Narrow" w:hAnsi="Arial Narrow"/>
          <w:b/>
          <w:bCs/>
          <w:color w:val="E36C0A" w:themeColor="accent6" w:themeShade="BF"/>
        </w:rPr>
        <w:t>DÍA 11 (VIERNES) / ÁMSTERDAM – COLONIA – CRUCERO POR EL RHIN – FRANKFURT</w:t>
      </w:r>
    </w:p>
    <w:p w14:paraId="612C08E3" w14:textId="77777777" w:rsidR="00980631" w:rsidRPr="00F4463A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S</w:t>
      </w:r>
      <w:r w:rsidRPr="00F4463A">
        <w:rPr>
          <w:rFonts w:ascii="Arial Narrow" w:hAnsi="Arial Narrow"/>
          <w:bCs/>
        </w:rPr>
        <w:t>al</w:t>
      </w:r>
      <w:r>
        <w:rPr>
          <w:rFonts w:ascii="Arial Narrow" w:hAnsi="Arial Narrow"/>
          <w:bCs/>
        </w:rPr>
        <w:t xml:space="preserve">ida hacia Colonia. Breve parada </w:t>
      </w:r>
      <w:r w:rsidRPr="00F4463A">
        <w:rPr>
          <w:rFonts w:ascii="Arial Narrow" w:hAnsi="Arial Narrow"/>
          <w:bCs/>
        </w:rPr>
        <w:t>en esta ciudad</w:t>
      </w:r>
      <w:r>
        <w:rPr>
          <w:rFonts w:ascii="Arial Narrow" w:hAnsi="Arial Narrow"/>
          <w:bCs/>
        </w:rPr>
        <w:t xml:space="preserve"> de gran belleza que ha crecido en torno al Rhin y de la que destaca su famosa </w:t>
      </w:r>
      <w:r w:rsidRPr="00F4463A">
        <w:rPr>
          <w:rFonts w:ascii="Arial Narrow" w:hAnsi="Arial Narrow"/>
          <w:bCs/>
        </w:rPr>
        <w:t xml:space="preserve">Catedral. Continuación bordeando el río Rin hasta Boppard donde </w:t>
      </w:r>
      <w:r>
        <w:rPr>
          <w:rFonts w:ascii="Arial Narrow" w:hAnsi="Arial Narrow"/>
          <w:bCs/>
        </w:rPr>
        <w:t xml:space="preserve">embarcaremos para realizar </w:t>
      </w:r>
      <w:r w:rsidRPr="00F4463A">
        <w:rPr>
          <w:rFonts w:ascii="Arial Narrow" w:hAnsi="Arial Narrow"/>
          <w:bCs/>
        </w:rPr>
        <w:t>un crucero por el río hasta St Goar. Continuación a Frankfurt,</w:t>
      </w:r>
      <w:r>
        <w:rPr>
          <w:rFonts w:ascii="Arial Narrow" w:hAnsi="Arial Narrow"/>
          <w:bCs/>
        </w:rPr>
        <w:t xml:space="preserve"> capital financiera de Alemania </w:t>
      </w:r>
      <w:r w:rsidRPr="00F4463A">
        <w:rPr>
          <w:rFonts w:ascii="Arial Narrow" w:hAnsi="Arial Narrow"/>
          <w:bCs/>
        </w:rPr>
        <w:t>y cuna de Goethe. Alojamiento</w:t>
      </w:r>
      <w:r>
        <w:rPr>
          <w:rFonts w:ascii="Arial Narrow" w:hAnsi="Arial Narrow"/>
          <w:bCs/>
        </w:rPr>
        <w:t xml:space="preserve"> en el hotel</w:t>
      </w:r>
      <w:r w:rsidRPr="00F4463A">
        <w:rPr>
          <w:rFonts w:ascii="Arial Narrow" w:hAnsi="Arial Narrow"/>
          <w:bCs/>
        </w:rPr>
        <w:t>.</w:t>
      </w:r>
    </w:p>
    <w:p w14:paraId="715DE433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3A085C68" w14:textId="20C389BB" w:rsidR="00980631" w:rsidRPr="007B1B93" w:rsidRDefault="00980631" w:rsidP="00980631">
      <w:pPr>
        <w:jc w:val="both"/>
        <w:rPr>
          <w:rFonts w:ascii="Arial Narrow" w:hAnsi="Arial Narrow"/>
          <w:b/>
          <w:bCs/>
        </w:rPr>
      </w:pPr>
      <w:r w:rsidRPr="007B1B93">
        <w:rPr>
          <w:rFonts w:ascii="Arial Narrow" w:hAnsi="Arial Narrow"/>
          <w:b/>
          <w:bCs/>
          <w:color w:val="E36C0A" w:themeColor="accent6" w:themeShade="BF"/>
        </w:rPr>
        <w:t>DÍA 12 (SÁBADO) / FRANKFURT</w:t>
      </w:r>
      <w:r w:rsidR="00377A48">
        <w:rPr>
          <w:rFonts w:ascii="Arial Narrow" w:hAnsi="Arial Narrow"/>
          <w:b/>
          <w:bCs/>
          <w:color w:val="E36C0A" w:themeColor="accent6" w:themeShade="BF"/>
        </w:rPr>
        <w:t xml:space="preserve"> – CIUDAD DE ORIGEN </w:t>
      </w:r>
    </w:p>
    <w:p w14:paraId="6DCDE090" w14:textId="7B5E2295" w:rsidR="00980631" w:rsidRDefault="00980631" w:rsidP="00980631">
      <w:p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F4463A">
        <w:rPr>
          <w:rFonts w:ascii="Arial Narrow" w:hAnsi="Arial Narrow"/>
          <w:bCs/>
        </w:rPr>
        <w:t xml:space="preserve">, </w:t>
      </w:r>
      <w:r>
        <w:rPr>
          <w:rFonts w:ascii="Arial Narrow" w:hAnsi="Arial Narrow"/>
          <w:bCs/>
        </w:rPr>
        <w:t xml:space="preserve">A la hora indicada traslado al aeropuerto. </w:t>
      </w:r>
      <w:r w:rsidR="00377A48">
        <w:rPr>
          <w:rFonts w:ascii="Arial Narrow" w:hAnsi="Arial Narrow"/>
          <w:bCs/>
        </w:rPr>
        <w:t>FIN DE NUESTROS SERVICIOS.</w:t>
      </w:r>
    </w:p>
    <w:p w14:paraId="0E2CEBE7" w14:textId="77777777" w:rsidR="00980631" w:rsidRDefault="00980631" w:rsidP="00980631">
      <w:pPr>
        <w:jc w:val="both"/>
        <w:rPr>
          <w:rFonts w:ascii="Arial Narrow" w:hAnsi="Arial Narrow"/>
          <w:bCs/>
        </w:rPr>
      </w:pPr>
    </w:p>
    <w:p w14:paraId="55E03C13" w14:textId="77777777" w:rsidR="00377A48" w:rsidRDefault="00377A48" w:rsidP="00980631">
      <w:pPr>
        <w:jc w:val="both"/>
        <w:rPr>
          <w:rFonts w:ascii="Arial Narrow" w:hAnsi="Arial Narrow"/>
          <w:bCs/>
        </w:rPr>
      </w:pPr>
    </w:p>
    <w:p w14:paraId="059AC30C" w14:textId="77777777" w:rsidR="00377A48" w:rsidRDefault="00377A48" w:rsidP="00980631">
      <w:pPr>
        <w:jc w:val="both"/>
        <w:rPr>
          <w:rFonts w:ascii="Arial Narrow" w:hAnsi="Arial Narrow"/>
          <w:bCs/>
        </w:rPr>
      </w:pPr>
    </w:p>
    <w:p w14:paraId="6C62AC7F" w14:textId="77777777" w:rsidR="00980631" w:rsidRDefault="00980631" w:rsidP="00980631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20806B17" w14:textId="77777777" w:rsidR="00980631" w:rsidRDefault="00980631" w:rsidP="00980631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Martes, del 06 de mayo 2025 al 28 de abril 2026</w:t>
      </w:r>
    </w:p>
    <w:p w14:paraId="1399870E" w14:textId="77777777" w:rsidR="00980631" w:rsidRDefault="00980631" w:rsidP="00980631">
      <w:pPr>
        <w:jc w:val="center"/>
        <w:rPr>
          <w:rFonts w:ascii="Arial Narrow" w:hAnsi="Arial Narrow"/>
          <w:bCs/>
        </w:rPr>
      </w:pPr>
    </w:p>
    <w:p w14:paraId="48848485" w14:textId="77777777" w:rsidR="00980631" w:rsidRDefault="00980631" w:rsidP="00980631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03DECD86" w14:textId="77777777" w:rsidR="00980631" w:rsidRPr="00153789" w:rsidRDefault="00980631" w:rsidP="00980631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337"/>
      </w:tblGrid>
      <w:tr w:rsidR="00980631" w:rsidRPr="00E96029" w14:paraId="47503FDB" w14:textId="77777777" w:rsidTr="00272CDF">
        <w:tc>
          <w:tcPr>
            <w:tcW w:w="3119" w:type="dxa"/>
          </w:tcPr>
          <w:p w14:paraId="157F5251" w14:textId="77777777" w:rsidR="00980631" w:rsidRPr="00E96029" w:rsidRDefault="00980631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276" w:type="dxa"/>
          </w:tcPr>
          <w:p w14:paraId="5085AF96" w14:textId="77777777" w:rsidR="00980631" w:rsidRPr="00E96029" w:rsidRDefault="00980631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</w:p>
        </w:tc>
        <w:tc>
          <w:tcPr>
            <w:tcW w:w="1417" w:type="dxa"/>
          </w:tcPr>
          <w:p w14:paraId="33ADF63E" w14:textId="77777777" w:rsidR="00980631" w:rsidRPr="00E96029" w:rsidRDefault="00980631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TPL</w:t>
            </w:r>
          </w:p>
        </w:tc>
        <w:tc>
          <w:tcPr>
            <w:tcW w:w="1337" w:type="dxa"/>
          </w:tcPr>
          <w:p w14:paraId="33CC7FD1" w14:textId="77777777" w:rsidR="00980631" w:rsidRPr="00E96029" w:rsidRDefault="00980631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SGL</w:t>
            </w:r>
          </w:p>
        </w:tc>
      </w:tr>
      <w:tr w:rsidR="00980631" w:rsidRPr="00E96029" w14:paraId="4F5C691A" w14:textId="77777777" w:rsidTr="00272CDF">
        <w:tc>
          <w:tcPr>
            <w:tcW w:w="3119" w:type="dxa"/>
          </w:tcPr>
          <w:p w14:paraId="6CAE809C" w14:textId="77777777" w:rsidR="00980631" w:rsidRPr="005B2BED" w:rsidRDefault="00980631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7D88C885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al 25 de noviembre 2025</w:t>
            </w:r>
          </w:p>
          <w:p w14:paraId="03818D3B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al 27 de enero 2026</w:t>
            </w:r>
          </w:p>
          <w:p w14:paraId="1C13CE1A" w14:textId="77777777" w:rsidR="00980631" w:rsidRPr="00E96029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03 al 24 de febrero 2026</w:t>
            </w:r>
          </w:p>
        </w:tc>
        <w:tc>
          <w:tcPr>
            <w:tcW w:w="1276" w:type="dxa"/>
            <w:vAlign w:val="center"/>
          </w:tcPr>
          <w:p w14:paraId="3ED681BA" w14:textId="77777777" w:rsidR="00980631" w:rsidRPr="00E66118" w:rsidRDefault="00980631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$ 1,835</w:t>
            </w:r>
          </w:p>
        </w:tc>
        <w:tc>
          <w:tcPr>
            <w:tcW w:w="1417" w:type="dxa"/>
            <w:vAlign w:val="center"/>
          </w:tcPr>
          <w:p w14:paraId="463BA4F2" w14:textId="77777777" w:rsidR="00980631" w:rsidRPr="00E66118" w:rsidRDefault="00980631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$ 1,774</w:t>
            </w:r>
          </w:p>
        </w:tc>
        <w:tc>
          <w:tcPr>
            <w:tcW w:w="1337" w:type="dxa"/>
            <w:vAlign w:val="center"/>
          </w:tcPr>
          <w:p w14:paraId="7933B2B9" w14:textId="77777777" w:rsidR="00980631" w:rsidRPr="00E66118" w:rsidRDefault="00980631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$ 2,665</w:t>
            </w:r>
          </w:p>
        </w:tc>
      </w:tr>
      <w:tr w:rsidR="00980631" w:rsidRPr="00E96029" w14:paraId="183086C3" w14:textId="77777777" w:rsidTr="00272CDF">
        <w:tc>
          <w:tcPr>
            <w:tcW w:w="3119" w:type="dxa"/>
          </w:tcPr>
          <w:p w14:paraId="2738FB10" w14:textId="77777777" w:rsidR="00980631" w:rsidRPr="003F36C4" w:rsidRDefault="00980631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Media:</w:t>
            </w:r>
          </w:p>
          <w:p w14:paraId="50046EE0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 al 29 de julio 2025</w:t>
            </w:r>
          </w:p>
          <w:p w14:paraId="551E6DF3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al 26 de agosto 2025</w:t>
            </w:r>
          </w:p>
          <w:p w14:paraId="0B6CF6AC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al 30 de diciembre 2025</w:t>
            </w:r>
          </w:p>
        </w:tc>
        <w:tc>
          <w:tcPr>
            <w:tcW w:w="1276" w:type="dxa"/>
            <w:vAlign w:val="center"/>
          </w:tcPr>
          <w:p w14:paraId="6E3FCD78" w14:textId="77777777" w:rsidR="00980631" w:rsidRPr="00E66118" w:rsidRDefault="00980631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$ 1,970</w:t>
            </w:r>
          </w:p>
        </w:tc>
        <w:tc>
          <w:tcPr>
            <w:tcW w:w="1417" w:type="dxa"/>
            <w:vAlign w:val="center"/>
          </w:tcPr>
          <w:p w14:paraId="20BA5C26" w14:textId="77777777" w:rsidR="00980631" w:rsidRPr="00E66118" w:rsidRDefault="00980631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$ 1,905</w:t>
            </w:r>
          </w:p>
        </w:tc>
        <w:tc>
          <w:tcPr>
            <w:tcW w:w="1337" w:type="dxa"/>
            <w:vAlign w:val="center"/>
          </w:tcPr>
          <w:p w14:paraId="286DD27B" w14:textId="77777777" w:rsidR="00980631" w:rsidRPr="00E66118" w:rsidRDefault="00980631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$ 2,800</w:t>
            </w:r>
          </w:p>
        </w:tc>
      </w:tr>
      <w:tr w:rsidR="00980631" w:rsidRPr="00E96029" w14:paraId="3D5DA6A5" w14:textId="77777777" w:rsidTr="00272CDF">
        <w:tc>
          <w:tcPr>
            <w:tcW w:w="3119" w:type="dxa"/>
          </w:tcPr>
          <w:p w14:paraId="18AEA4A9" w14:textId="77777777" w:rsidR="00980631" w:rsidRDefault="00980631" w:rsidP="00272CD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Alta:</w:t>
            </w:r>
          </w:p>
          <w:p w14:paraId="7EEF953F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06 al 27 de mayo 2025</w:t>
            </w:r>
          </w:p>
          <w:p w14:paraId="483D9862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03 al 24 de junio 2025</w:t>
            </w:r>
          </w:p>
          <w:p w14:paraId="7E0BC33C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al 30 de septiembre 2025</w:t>
            </w:r>
          </w:p>
          <w:p w14:paraId="244DDA9F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07 al 28 de octubre 2025</w:t>
            </w:r>
          </w:p>
          <w:p w14:paraId="59C8C91F" w14:textId="77777777" w:rsidR="00980631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03 al 31 de marzo 2026</w:t>
            </w:r>
          </w:p>
          <w:p w14:paraId="06D88F6B" w14:textId="77777777" w:rsidR="00980631" w:rsidRPr="00E66118" w:rsidRDefault="00980631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07 al 28 de abril 2026</w:t>
            </w:r>
          </w:p>
        </w:tc>
        <w:tc>
          <w:tcPr>
            <w:tcW w:w="1276" w:type="dxa"/>
            <w:vAlign w:val="center"/>
          </w:tcPr>
          <w:p w14:paraId="3D02B797" w14:textId="77777777" w:rsidR="00980631" w:rsidRPr="00E66118" w:rsidRDefault="00980631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$ 2,055</w:t>
            </w:r>
          </w:p>
        </w:tc>
        <w:tc>
          <w:tcPr>
            <w:tcW w:w="1417" w:type="dxa"/>
            <w:vAlign w:val="center"/>
          </w:tcPr>
          <w:p w14:paraId="2C49ECC8" w14:textId="77777777" w:rsidR="00980631" w:rsidRPr="00E66118" w:rsidRDefault="00980631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$ 1,987</w:t>
            </w:r>
          </w:p>
        </w:tc>
        <w:tc>
          <w:tcPr>
            <w:tcW w:w="1337" w:type="dxa"/>
            <w:vAlign w:val="center"/>
          </w:tcPr>
          <w:p w14:paraId="2B0D6EBA" w14:textId="77777777" w:rsidR="00980631" w:rsidRPr="00E66118" w:rsidRDefault="00980631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$ 2,885</w:t>
            </w:r>
          </w:p>
        </w:tc>
      </w:tr>
    </w:tbl>
    <w:p w14:paraId="4CCECFF2" w14:textId="77777777" w:rsidR="00980631" w:rsidRDefault="00980631" w:rsidP="00980631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14A6E228" w14:textId="77777777" w:rsidR="00980631" w:rsidRDefault="00980631" w:rsidP="00980631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40BDBF0E" w14:textId="77777777" w:rsidR="00980631" w:rsidRDefault="00980631" w:rsidP="00980631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12B38058" w14:textId="77777777" w:rsidR="00980631" w:rsidRDefault="00980631" w:rsidP="00980631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7F4AE239" w14:textId="77777777" w:rsidR="00980631" w:rsidRDefault="00980631" w:rsidP="00980631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350C661C" w14:textId="0B4F610D" w:rsidR="00980631" w:rsidRPr="00B576DA" w:rsidRDefault="00980631" w:rsidP="00980631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37B608EE" w14:textId="77777777" w:rsidR="00980631" w:rsidRPr="00F4463A" w:rsidRDefault="00980631" w:rsidP="00C2300E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Traslados de llegada y salida (apto – hotel – apto)</w:t>
      </w:r>
    </w:p>
    <w:p w14:paraId="5D81543F" w14:textId="77777777" w:rsidR="00980631" w:rsidRPr="00F4463A" w:rsidRDefault="00980631" w:rsidP="00C2300E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Alojamiento con desayuno buffet</w:t>
      </w:r>
    </w:p>
    <w:p w14:paraId="4589E128" w14:textId="77777777" w:rsidR="00980631" w:rsidRPr="00F4463A" w:rsidRDefault="00980631" w:rsidP="00C2300E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Guía acompañante de habla hispana durante todo el viaje</w:t>
      </w:r>
    </w:p>
    <w:p w14:paraId="558FA76D" w14:textId="77777777" w:rsidR="00980631" w:rsidRPr="00F4463A" w:rsidRDefault="00980631" w:rsidP="00C2300E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Transporte en bus y tren por Eurotunnel de Londres a París. (En algunas salidas en Ferry)</w:t>
      </w:r>
    </w:p>
    <w:p w14:paraId="0316F005" w14:textId="77777777" w:rsidR="00980631" w:rsidRPr="00F4463A" w:rsidRDefault="00980631" w:rsidP="00C2300E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Crucero por el Rin</w:t>
      </w:r>
    </w:p>
    <w:p w14:paraId="2202A71E" w14:textId="77777777" w:rsidR="00980631" w:rsidRPr="00F4463A" w:rsidRDefault="00980631" w:rsidP="00C2300E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Visita con guía local en Londres, París, Bruselas y Ámsterdam</w:t>
      </w:r>
    </w:p>
    <w:p w14:paraId="5AD1DF53" w14:textId="77777777" w:rsidR="00980631" w:rsidRPr="00F4463A" w:rsidRDefault="00980631" w:rsidP="00C2300E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Recorrido nocturno en París</w:t>
      </w:r>
    </w:p>
    <w:p w14:paraId="40715130" w14:textId="77777777" w:rsidR="00980631" w:rsidRPr="00F4463A" w:rsidRDefault="00980631" w:rsidP="00C2300E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F4463A">
        <w:rPr>
          <w:rFonts w:ascii="Arial Narrow" w:hAnsi="Arial Narrow"/>
          <w:bCs/>
        </w:rPr>
        <w:t>Seguro de asistencia en viaje</w:t>
      </w:r>
    </w:p>
    <w:p w14:paraId="564476B4" w14:textId="77777777" w:rsidR="00980631" w:rsidRPr="00B576DA" w:rsidRDefault="00980631" w:rsidP="00980631">
      <w:pPr>
        <w:jc w:val="both"/>
        <w:rPr>
          <w:rFonts w:ascii="Arial Narrow" w:hAnsi="Arial Narrow"/>
          <w:bCs/>
        </w:rPr>
      </w:pPr>
    </w:p>
    <w:p w14:paraId="1B8AB02F" w14:textId="77777777" w:rsidR="00980631" w:rsidRDefault="00980631" w:rsidP="00980631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3295B7EB" w14:textId="77777777" w:rsidR="00980631" w:rsidRPr="003F7252" w:rsidRDefault="00980631" w:rsidP="00C2300E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3F7252">
        <w:rPr>
          <w:rFonts w:ascii="Arial Narrow" w:hAnsi="Arial Narrow"/>
          <w:bCs/>
        </w:rPr>
        <w:t>Propina para guía, chofer, etc.</w:t>
      </w:r>
    </w:p>
    <w:p w14:paraId="34BD78BB" w14:textId="77777777" w:rsidR="00980631" w:rsidRPr="003F7252" w:rsidRDefault="00980631" w:rsidP="00C2300E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3F7252">
        <w:rPr>
          <w:rFonts w:ascii="Arial Narrow" w:hAnsi="Arial Narrow"/>
          <w:bCs/>
        </w:rPr>
        <w:t>Gastos de índole personal</w:t>
      </w:r>
    </w:p>
    <w:p w14:paraId="63CD66E9" w14:textId="77777777" w:rsidR="00980631" w:rsidRPr="003F7252" w:rsidRDefault="00980631" w:rsidP="00C2300E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3F7252">
        <w:rPr>
          <w:rFonts w:ascii="Arial Narrow" w:hAnsi="Arial Narrow"/>
          <w:bCs/>
        </w:rPr>
        <w:t>Excursiones y/o visitas opcionales</w:t>
      </w:r>
    </w:p>
    <w:p w14:paraId="59F1F5B3" w14:textId="77777777" w:rsidR="00980631" w:rsidRPr="003F7252" w:rsidRDefault="00980631" w:rsidP="00C2300E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3F7252">
        <w:rPr>
          <w:rFonts w:ascii="Arial Narrow" w:hAnsi="Arial Narrow"/>
          <w:bCs/>
        </w:rPr>
        <w:t>City tax</w:t>
      </w:r>
      <w:r>
        <w:rPr>
          <w:rFonts w:ascii="Arial Narrow" w:hAnsi="Arial Narrow"/>
          <w:bCs/>
        </w:rPr>
        <w:t xml:space="preserve"> ($ 57 USD netos, que se deberá pagar al momento de la reserva)</w:t>
      </w:r>
    </w:p>
    <w:p w14:paraId="326BB3F0" w14:textId="77777777" w:rsidR="00980631" w:rsidRPr="003F7252" w:rsidRDefault="00980631" w:rsidP="00C2300E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3F7252">
        <w:rPr>
          <w:rFonts w:ascii="Arial Narrow" w:hAnsi="Arial Narrow"/>
          <w:bCs/>
        </w:rPr>
        <w:t>Vuelos internacionales</w:t>
      </w:r>
    </w:p>
    <w:p w14:paraId="68E2C4D8" w14:textId="77777777" w:rsidR="00980631" w:rsidRPr="003F7252" w:rsidRDefault="00980631" w:rsidP="00C2300E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3F7252">
        <w:rPr>
          <w:rFonts w:ascii="Arial Narrow" w:hAnsi="Arial Narrow"/>
          <w:bCs/>
        </w:rPr>
        <w:t>Lo no especificado en el apartado del precio incluye</w:t>
      </w:r>
    </w:p>
    <w:p w14:paraId="7218D024" w14:textId="77777777" w:rsidR="00980631" w:rsidRDefault="00980631" w:rsidP="00980631">
      <w:pPr>
        <w:jc w:val="center"/>
        <w:rPr>
          <w:rFonts w:ascii="Arial Narrow" w:hAnsi="Arial Narrow"/>
          <w:bCs/>
        </w:rPr>
      </w:pPr>
    </w:p>
    <w:p w14:paraId="79D73669" w14:textId="77777777" w:rsidR="00980631" w:rsidRDefault="00980631" w:rsidP="00980631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3CF5D968" w14:textId="77777777" w:rsidR="00980631" w:rsidRDefault="00980631" w:rsidP="00980631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3EA24D03" w14:textId="77777777" w:rsidR="00980631" w:rsidRDefault="00980631" w:rsidP="00980631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t>HOTELES PREVISTOS Y/O SIMILARES</w:t>
      </w:r>
    </w:p>
    <w:tbl>
      <w:tblPr>
        <w:tblStyle w:val="Tablaconcuadrcula"/>
        <w:tblW w:w="0" w:type="auto"/>
        <w:tblInd w:w="770" w:type="dxa"/>
        <w:tblLook w:val="04A0" w:firstRow="1" w:lastRow="0" w:firstColumn="1" w:lastColumn="0" w:noHBand="0" w:noVBand="1"/>
      </w:tblPr>
      <w:tblGrid>
        <w:gridCol w:w="1890"/>
        <w:gridCol w:w="4111"/>
        <w:gridCol w:w="1308"/>
      </w:tblGrid>
      <w:tr w:rsidR="00980631" w14:paraId="3E2B66B4" w14:textId="77777777" w:rsidTr="00272CDF">
        <w:tc>
          <w:tcPr>
            <w:tcW w:w="1890" w:type="dxa"/>
          </w:tcPr>
          <w:p w14:paraId="73714AF2" w14:textId="77777777" w:rsidR="00980631" w:rsidRPr="00DD4CC9" w:rsidRDefault="00980631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111" w:type="dxa"/>
          </w:tcPr>
          <w:p w14:paraId="5C552477" w14:textId="77777777" w:rsidR="00980631" w:rsidRPr="00DD4CC9" w:rsidRDefault="00980631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308" w:type="dxa"/>
          </w:tcPr>
          <w:p w14:paraId="4964E17D" w14:textId="77777777" w:rsidR="00980631" w:rsidRPr="00DD4CC9" w:rsidRDefault="00980631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980631" w:rsidRPr="00DD4CC9" w14:paraId="494FE0AF" w14:textId="77777777" w:rsidTr="00272CDF">
        <w:tc>
          <w:tcPr>
            <w:tcW w:w="1890" w:type="dxa"/>
          </w:tcPr>
          <w:p w14:paraId="220FEF9E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Londres</w:t>
            </w:r>
          </w:p>
        </w:tc>
        <w:tc>
          <w:tcPr>
            <w:tcW w:w="4111" w:type="dxa"/>
            <w:vAlign w:val="center"/>
          </w:tcPr>
          <w:p w14:paraId="58684D46" w14:textId="2A8F423C" w:rsidR="00980631" w:rsidRPr="009444F3" w:rsidRDefault="00425FA4" w:rsidP="00272CDF">
            <w:pPr>
              <w:jc w:val="center"/>
              <w:rPr>
                <w:rFonts w:ascii="Arial Narrow" w:hAnsi="Arial Narrow"/>
              </w:rPr>
            </w:pPr>
            <w:hyperlink r:id="rId7" w:history="1">
              <w:r w:rsidR="00980631" w:rsidRPr="00425FA4">
                <w:rPr>
                  <w:rStyle w:val="Hipervnculo"/>
                  <w:rFonts w:ascii="Arial Narrow" w:hAnsi="Arial Narrow"/>
                </w:rPr>
                <w:t>Holiday Express Royal Docks</w:t>
              </w:r>
            </w:hyperlink>
          </w:p>
        </w:tc>
        <w:tc>
          <w:tcPr>
            <w:tcW w:w="1308" w:type="dxa"/>
          </w:tcPr>
          <w:p w14:paraId="34695E35" w14:textId="77777777" w:rsidR="00980631" w:rsidRPr="00B25E7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980631" w14:paraId="4D831BA7" w14:textId="77777777" w:rsidTr="00272CDF">
        <w:tc>
          <w:tcPr>
            <w:tcW w:w="1890" w:type="dxa"/>
          </w:tcPr>
          <w:p w14:paraId="186B73B7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París</w:t>
            </w:r>
          </w:p>
        </w:tc>
        <w:tc>
          <w:tcPr>
            <w:tcW w:w="4111" w:type="dxa"/>
            <w:vAlign w:val="center"/>
          </w:tcPr>
          <w:p w14:paraId="6D42FAA9" w14:textId="1E43C0D4" w:rsidR="00980631" w:rsidRDefault="00425FA4" w:rsidP="00272CDF">
            <w:pPr>
              <w:jc w:val="center"/>
              <w:rPr>
                <w:rFonts w:ascii="Arial Narrow" w:hAnsi="Arial Narrow"/>
              </w:rPr>
            </w:pPr>
            <w:hyperlink r:id="rId8" w:history="1">
              <w:r w:rsidR="00980631" w:rsidRPr="00425FA4">
                <w:rPr>
                  <w:rStyle w:val="Hipervnculo"/>
                  <w:rFonts w:ascii="Arial Narrow" w:hAnsi="Arial Narrow"/>
                </w:rPr>
                <w:t>Ibis Porte Dórleans</w:t>
              </w:r>
            </w:hyperlink>
          </w:p>
          <w:p w14:paraId="3D9714AA" w14:textId="3C301818" w:rsidR="00980631" w:rsidRDefault="00425FA4" w:rsidP="00272CDF">
            <w:pPr>
              <w:jc w:val="center"/>
              <w:rPr>
                <w:rFonts w:ascii="Arial Narrow" w:hAnsi="Arial Narrow"/>
              </w:rPr>
            </w:pPr>
            <w:hyperlink r:id="rId9" w:history="1">
              <w:r w:rsidR="00980631" w:rsidRPr="00425FA4">
                <w:rPr>
                  <w:rStyle w:val="Hipervnculo"/>
                  <w:rFonts w:ascii="Arial Narrow" w:hAnsi="Arial Narrow"/>
                </w:rPr>
                <w:t>Ibis La Defense</w:t>
              </w:r>
            </w:hyperlink>
          </w:p>
        </w:tc>
        <w:tc>
          <w:tcPr>
            <w:tcW w:w="1308" w:type="dxa"/>
            <w:vAlign w:val="center"/>
          </w:tcPr>
          <w:p w14:paraId="68008D8E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78436B95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980631" w14:paraId="13FAE1B2" w14:textId="77777777" w:rsidTr="00272CDF">
        <w:tc>
          <w:tcPr>
            <w:tcW w:w="1890" w:type="dxa"/>
          </w:tcPr>
          <w:p w14:paraId="39C8BE7E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Bruselas</w:t>
            </w:r>
          </w:p>
        </w:tc>
        <w:tc>
          <w:tcPr>
            <w:tcW w:w="4111" w:type="dxa"/>
            <w:vAlign w:val="center"/>
          </w:tcPr>
          <w:p w14:paraId="6540C608" w14:textId="176AA4C1" w:rsidR="00980631" w:rsidRDefault="00425FA4" w:rsidP="00272CDF">
            <w:pPr>
              <w:jc w:val="center"/>
              <w:rPr>
                <w:rFonts w:ascii="Arial Narrow" w:hAnsi="Arial Narrow"/>
              </w:rPr>
            </w:pPr>
            <w:hyperlink r:id="rId10" w:history="1">
              <w:r w:rsidR="00980631" w:rsidRPr="00425FA4">
                <w:rPr>
                  <w:rStyle w:val="Hipervnculo"/>
                  <w:rFonts w:ascii="Arial Narrow" w:hAnsi="Arial Narrow"/>
                </w:rPr>
                <w:t>Ramada Woluwe</w:t>
              </w:r>
            </w:hyperlink>
          </w:p>
        </w:tc>
        <w:tc>
          <w:tcPr>
            <w:tcW w:w="1308" w:type="dxa"/>
          </w:tcPr>
          <w:p w14:paraId="00FA0E15" w14:textId="77777777" w:rsidR="00980631" w:rsidRPr="00CD081B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980631" w14:paraId="5C0747E8" w14:textId="77777777" w:rsidTr="00272CDF">
        <w:tc>
          <w:tcPr>
            <w:tcW w:w="1890" w:type="dxa"/>
          </w:tcPr>
          <w:p w14:paraId="1AB127A2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Brujas</w:t>
            </w:r>
          </w:p>
        </w:tc>
        <w:tc>
          <w:tcPr>
            <w:tcW w:w="4111" w:type="dxa"/>
            <w:vAlign w:val="center"/>
          </w:tcPr>
          <w:p w14:paraId="194A3926" w14:textId="6824E261" w:rsidR="00980631" w:rsidRDefault="00425FA4" w:rsidP="00272CDF">
            <w:pPr>
              <w:jc w:val="center"/>
              <w:rPr>
                <w:rFonts w:ascii="Arial Narrow" w:hAnsi="Arial Narrow"/>
              </w:rPr>
            </w:pPr>
            <w:hyperlink r:id="rId11" w:history="1">
              <w:r w:rsidR="00980631" w:rsidRPr="00425FA4">
                <w:rPr>
                  <w:rStyle w:val="Hipervnculo"/>
                  <w:rFonts w:ascii="Arial Narrow" w:hAnsi="Arial Narrow"/>
                </w:rPr>
                <w:t>Ibis Brugge</w:t>
              </w:r>
            </w:hyperlink>
          </w:p>
        </w:tc>
        <w:tc>
          <w:tcPr>
            <w:tcW w:w="1308" w:type="dxa"/>
          </w:tcPr>
          <w:p w14:paraId="4F7F26FB" w14:textId="77777777" w:rsidR="00980631" w:rsidRPr="00CD081B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  <w:tr w:rsidR="00980631" w14:paraId="6E60F5F3" w14:textId="77777777" w:rsidTr="00272CDF">
        <w:tc>
          <w:tcPr>
            <w:tcW w:w="1890" w:type="dxa"/>
          </w:tcPr>
          <w:p w14:paraId="1E5E73D6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Ámsterdam</w:t>
            </w:r>
          </w:p>
        </w:tc>
        <w:tc>
          <w:tcPr>
            <w:tcW w:w="4111" w:type="dxa"/>
            <w:vAlign w:val="center"/>
          </w:tcPr>
          <w:p w14:paraId="288EA971" w14:textId="615D5346" w:rsidR="00980631" w:rsidRPr="00377A48" w:rsidRDefault="00425FA4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2" w:history="1">
              <w:r w:rsidR="00980631" w:rsidRPr="00425FA4">
                <w:rPr>
                  <w:rStyle w:val="Hipervnculo"/>
                  <w:rFonts w:ascii="Arial Narrow" w:hAnsi="Arial Narrow"/>
                  <w:lang w:val="en-US"/>
                </w:rPr>
                <w:t>Holiday Inn Express North Riverside</w:t>
              </w:r>
            </w:hyperlink>
          </w:p>
          <w:p w14:paraId="04071F95" w14:textId="1E68C5AD" w:rsidR="00980631" w:rsidRPr="00377A48" w:rsidRDefault="00425FA4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3" w:history="1">
              <w:r w:rsidR="00980631" w:rsidRPr="00425FA4">
                <w:rPr>
                  <w:rStyle w:val="Hipervnculo"/>
                  <w:rFonts w:ascii="Arial Narrow" w:hAnsi="Arial Narrow"/>
                  <w:lang w:val="en-US"/>
                </w:rPr>
                <w:t>Holiday Inn Arena Towers</w:t>
              </w:r>
            </w:hyperlink>
          </w:p>
          <w:p w14:paraId="20534E34" w14:textId="379274F1" w:rsidR="00980631" w:rsidRDefault="00425FA4" w:rsidP="00272CDF">
            <w:pPr>
              <w:jc w:val="center"/>
              <w:rPr>
                <w:rFonts w:ascii="Arial Narrow" w:hAnsi="Arial Narrow"/>
              </w:rPr>
            </w:pPr>
            <w:hyperlink r:id="rId14" w:history="1">
              <w:r w:rsidR="00980631" w:rsidRPr="00425FA4">
                <w:rPr>
                  <w:rStyle w:val="Hipervnculo"/>
                  <w:rFonts w:ascii="Arial Narrow" w:hAnsi="Arial Narrow"/>
                </w:rPr>
                <w:t>Novotel City</w:t>
              </w:r>
            </w:hyperlink>
          </w:p>
        </w:tc>
        <w:tc>
          <w:tcPr>
            <w:tcW w:w="1308" w:type="dxa"/>
          </w:tcPr>
          <w:p w14:paraId="36EBE7C6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13276A54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6A26D25C" w14:textId="77777777" w:rsidR="00980631" w:rsidRPr="00CD081B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980631" w14:paraId="2E886472" w14:textId="77777777" w:rsidTr="00272CDF">
        <w:tc>
          <w:tcPr>
            <w:tcW w:w="1890" w:type="dxa"/>
          </w:tcPr>
          <w:p w14:paraId="18C86603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Frankfurt</w:t>
            </w:r>
          </w:p>
        </w:tc>
        <w:tc>
          <w:tcPr>
            <w:tcW w:w="4111" w:type="dxa"/>
            <w:vAlign w:val="center"/>
          </w:tcPr>
          <w:p w14:paraId="5AFE48F2" w14:textId="5C672BD9" w:rsidR="00980631" w:rsidRDefault="005C306F" w:rsidP="00272CDF">
            <w:pPr>
              <w:jc w:val="center"/>
              <w:rPr>
                <w:rFonts w:ascii="Arial Narrow" w:hAnsi="Arial Narrow"/>
              </w:rPr>
            </w:pPr>
            <w:hyperlink r:id="rId15" w:history="1">
              <w:r w:rsidR="00980631" w:rsidRPr="005C306F">
                <w:rPr>
                  <w:rStyle w:val="Hipervnculo"/>
                  <w:rFonts w:ascii="Arial Narrow" w:hAnsi="Arial Narrow"/>
                </w:rPr>
                <w:t>Tryp Frankfurt</w:t>
              </w:r>
            </w:hyperlink>
          </w:p>
          <w:p w14:paraId="68414D2B" w14:textId="5D18E3F4" w:rsidR="00980631" w:rsidRDefault="005C306F" w:rsidP="00272CDF">
            <w:pPr>
              <w:jc w:val="center"/>
              <w:rPr>
                <w:rFonts w:ascii="Arial Narrow" w:hAnsi="Arial Narrow"/>
              </w:rPr>
            </w:pPr>
            <w:hyperlink r:id="rId16" w:history="1">
              <w:r w:rsidR="00980631" w:rsidRPr="005C306F">
                <w:rPr>
                  <w:rStyle w:val="Hipervnculo"/>
                  <w:rFonts w:ascii="Arial Narrow" w:hAnsi="Arial Narrow"/>
                </w:rPr>
                <w:t>Mercure Eschborn</w:t>
              </w:r>
            </w:hyperlink>
            <w:bookmarkStart w:id="0" w:name="_GoBack"/>
            <w:bookmarkEnd w:id="0"/>
          </w:p>
        </w:tc>
        <w:tc>
          <w:tcPr>
            <w:tcW w:w="1308" w:type="dxa"/>
          </w:tcPr>
          <w:p w14:paraId="2C3A61FC" w14:textId="77777777" w:rsidR="00980631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56CDC195" w14:textId="77777777" w:rsidR="00980631" w:rsidRPr="00CD081B" w:rsidRDefault="00980631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</w:tbl>
    <w:p w14:paraId="6B25F1EE" w14:textId="77777777" w:rsidR="001061A8" w:rsidRDefault="001061A8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</w:p>
    <w:p w14:paraId="3C29BCE3" w14:textId="77777777" w:rsidR="00377A48" w:rsidRDefault="00377A48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</w:p>
    <w:p w14:paraId="22449453" w14:textId="65D302F9" w:rsidR="00392989" w:rsidRPr="00682558" w:rsidRDefault="00F33A3C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989A6" w14:textId="77777777" w:rsidR="00C2300E" w:rsidRDefault="00C2300E" w:rsidP="00D4640C">
      <w:r>
        <w:separator/>
      </w:r>
    </w:p>
  </w:endnote>
  <w:endnote w:type="continuationSeparator" w:id="0">
    <w:p w14:paraId="58C439A5" w14:textId="77777777" w:rsidR="00C2300E" w:rsidRDefault="00C2300E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BB418" w14:textId="77777777" w:rsidR="00C2300E" w:rsidRDefault="00C2300E" w:rsidP="00D4640C">
      <w:r>
        <w:separator/>
      </w:r>
    </w:p>
  </w:footnote>
  <w:footnote w:type="continuationSeparator" w:id="0">
    <w:p w14:paraId="01B3A47B" w14:textId="77777777" w:rsidR="00C2300E" w:rsidRDefault="00C2300E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645"/>
    <w:multiLevelType w:val="hybridMultilevel"/>
    <w:tmpl w:val="B6206E8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509FD"/>
    <w:multiLevelType w:val="hybridMultilevel"/>
    <w:tmpl w:val="AFD03B3A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50C57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061A8"/>
    <w:rsid w:val="00131CF1"/>
    <w:rsid w:val="00152ADC"/>
    <w:rsid w:val="00163E06"/>
    <w:rsid w:val="00173953"/>
    <w:rsid w:val="0017395B"/>
    <w:rsid w:val="00180DA3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207C1C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77A48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E510A"/>
    <w:rsid w:val="003F31B5"/>
    <w:rsid w:val="003F5378"/>
    <w:rsid w:val="00422967"/>
    <w:rsid w:val="00425FA4"/>
    <w:rsid w:val="00433669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46AD"/>
    <w:rsid w:val="004B4FA8"/>
    <w:rsid w:val="004C66D2"/>
    <w:rsid w:val="004D03AC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60C01"/>
    <w:rsid w:val="00576F6B"/>
    <w:rsid w:val="0057776B"/>
    <w:rsid w:val="005816EB"/>
    <w:rsid w:val="00585093"/>
    <w:rsid w:val="00585246"/>
    <w:rsid w:val="00595555"/>
    <w:rsid w:val="005A33B1"/>
    <w:rsid w:val="005A64F0"/>
    <w:rsid w:val="005C306F"/>
    <w:rsid w:val="005C5600"/>
    <w:rsid w:val="005C754D"/>
    <w:rsid w:val="005D0AED"/>
    <w:rsid w:val="005D7A3C"/>
    <w:rsid w:val="005E4356"/>
    <w:rsid w:val="005E47FF"/>
    <w:rsid w:val="00600831"/>
    <w:rsid w:val="00607692"/>
    <w:rsid w:val="0061525D"/>
    <w:rsid w:val="00616ACF"/>
    <w:rsid w:val="0062560F"/>
    <w:rsid w:val="00630741"/>
    <w:rsid w:val="006345A3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97A"/>
    <w:rsid w:val="00723633"/>
    <w:rsid w:val="0072730B"/>
    <w:rsid w:val="0073402C"/>
    <w:rsid w:val="00741F01"/>
    <w:rsid w:val="00742870"/>
    <w:rsid w:val="007501C3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E785E"/>
    <w:rsid w:val="007F392A"/>
    <w:rsid w:val="008024D6"/>
    <w:rsid w:val="00807310"/>
    <w:rsid w:val="00814347"/>
    <w:rsid w:val="008304BE"/>
    <w:rsid w:val="00834B74"/>
    <w:rsid w:val="008409C2"/>
    <w:rsid w:val="00842037"/>
    <w:rsid w:val="00862BD0"/>
    <w:rsid w:val="00863789"/>
    <w:rsid w:val="00886BFE"/>
    <w:rsid w:val="0089774D"/>
    <w:rsid w:val="008B5C6A"/>
    <w:rsid w:val="008C3E94"/>
    <w:rsid w:val="008C5806"/>
    <w:rsid w:val="008D137F"/>
    <w:rsid w:val="008D3D03"/>
    <w:rsid w:val="008E1102"/>
    <w:rsid w:val="008E1466"/>
    <w:rsid w:val="008F2347"/>
    <w:rsid w:val="0093541E"/>
    <w:rsid w:val="00936AE3"/>
    <w:rsid w:val="00940484"/>
    <w:rsid w:val="009664C2"/>
    <w:rsid w:val="00971C2E"/>
    <w:rsid w:val="009727F4"/>
    <w:rsid w:val="00980631"/>
    <w:rsid w:val="009936B9"/>
    <w:rsid w:val="009D0A3F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315DE"/>
    <w:rsid w:val="00A43E89"/>
    <w:rsid w:val="00A465F0"/>
    <w:rsid w:val="00A51114"/>
    <w:rsid w:val="00A52659"/>
    <w:rsid w:val="00A54EC7"/>
    <w:rsid w:val="00A57093"/>
    <w:rsid w:val="00A63AD7"/>
    <w:rsid w:val="00A70DC6"/>
    <w:rsid w:val="00A90842"/>
    <w:rsid w:val="00A95320"/>
    <w:rsid w:val="00AA4181"/>
    <w:rsid w:val="00AC4660"/>
    <w:rsid w:val="00AD60B8"/>
    <w:rsid w:val="00AE0173"/>
    <w:rsid w:val="00AE2ED9"/>
    <w:rsid w:val="00AF00AD"/>
    <w:rsid w:val="00AF0986"/>
    <w:rsid w:val="00AF13F4"/>
    <w:rsid w:val="00B05854"/>
    <w:rsid w:val="00B14AB1"/>
    <w:rsid w:val="00B17822"/>
    <w:rsid w:val="00B22B16"/>
    <w:rsid w:val="00B36EA0"/>
    <w:rsid w:val="00B42823"/>
    <w:rsid w:val="00B53372"/>
    <w:rsid w:val="00B54509"/>
    <w:rsid w:val="00B60971"/>
    <w:rsid w:val="00B612AB"/>
    <w:rsid w:val="00B63AD5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D3870"/>
    <w:rsid w:val="00BD460D"/>
    <w:rsid w:val="00BD4674"/>
    <w:rsid w:val="00C2300E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A5A9F"/>
    <w:rsid w:val="00CB6176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B531F"/>
    <w:rsid w:val="00DD3593"/>
    <w:rsid w:val="00DE29CA"/>
    <w:rsid w:val="00DE363D"/>
    <w:rsid w:val="00E0147B"/>
    <w:rsid w:val="00E027D7"/>
    <w:rsid w:val="00E03341"/>
    <w:rsid w:val="00E040AE"/>
    <w:rsid w:val="00E045D2"/>
    <w:rsid w:val="00E12B6B"/>
    <w:rsid w:val="00E1712E"/>
    <w:rsid w:val="00E21091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F2F1A"/>
    <w:rsid w:val="00EF545D"/>
    <w:rsid w:val="00EF6932"/>
    <w:rsid w:val="00EF75D0"/>
    <w:rsid w:val="00F276F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-paris-porte-dorleans.h-rez.com/index.htm" TargetMode="External"/><Relationship Id="rId13" Type="http://schemas.openxmlformats.org/officeDocument/2006/relationships/hyperlink" Target="https://www.ihg.com/holidayinnexpress/hotels/gb/en/amsterdam/amsea/hoteldetai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hg.com/holidayinnexpress/hotels/gb/en/london/lonsi/hoteldetail" TargetMode="External"/><Relationship Id="rId12" Type="http://schemas.openxmlformats.org/officeDocument/2006/relationships/hyperlink" Target="https://www.ihg.com/holidayinnexpress/hotels/gb/en/amsterdam/amsmk/hoteldetai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ll.accor.com/hotel/5379/index.es.s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l.accor.com/hotel/1047/index.es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yndhamhotels.com/de-de/hotels/frankfurt-am-main-germany" TargetMode="External"/><Relationship Id="rId10" Type="http://schemas.openxmlformats.org/officeDocument/2006/relationships/hyperlink" Target="https://www.wyndhamhotels.com/ramada/brussels-belgium/ramada-brussels-woluwe/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.accor.com/hotel/0771/index.es.shtml" TargetMode="External"/><Relationship Id="rId14" Type="http://schemas.openxmlformats.org/officeDocument/2006/relationships/hyperlink" Target="https://www.novotelamsterdamcity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2025-11-27T21:04:00Z</dcterms:created>
  <dcterms:modified xsi:type="dcterms:W3CDTF">2025-11-27T21:04:00Z</dcterms:modified>
</cp:coreProperties>
</file>