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ndara" w:cs="Candara" w:eastAsia="Candara" w:hAnsi="Candara"/>
          <w:b w:val="1"/>
          <w:color w:val="e36c09"/>
          <w:sz w:val="12"/>
          <w:szCs w:val="12"/>
        </w:rPr>
      </w:pPr>
      <w:r w:rsidDel="00000000" w:rsidR="00000000" w:rsidRPr="00000000">
        <w:rPr>
          <w:rtl w:val="0"/>
        </w:rPr>
      </w:r>
    </w:p>
    <w:p w:rsidR="00000000" w:rsidDel="00000000" w:rsidP="00000000" w:rsidRDefault="00000000" w:rsidRPr="00000000" w14:paraId="00000002">
      <w:pPr>
        <w:jc w:val="center"/>
        <w:rPr>
          <w:rFonts w:ascii="Candara" w:cs="Candara" w:eastAsia="Candara" w:hAnsi="Candara"/>
          <w:b w:val="1"/>
          <w:color w:val="e36c09"/>
          <w:sz w:val="56"/>
          <w:szCs w:val="56"/>
        </w:rPr>
      </w:pPr>
      <w:r w:rsidDel="00000000" w:rsidR="00000000" w:rsidRPr="00000000">
        <w:rPr>
          <w:rFonts w:ascii="Candara" w:cs="Candara" w:eastAsia="Candara" w:hAnsi="Candara"/>
          <w:b w:val="1"/>
          <w:color w:val="e36c09"/>
          <w:sz w:val="56"/>
          <w:szCs w:val="56"/>
          <w:rtl w:val="0"/>
        </w:rPr>
        <w:t xml:space="preserve">MARRUECOS AL COMPLETO</w:t>
      </w:r>
    </w:p>
    <w:p w:rsidR="00000000" w:rsidDel="00000000" w:rsidP="00000000" w:rsidRDefault="00000000" w:rsidRPr="00000000" w14:paraId="00000003">
      <w:pPr>
        <w:jc w:val="center"/>
        <w:rPr>
          <w:rFonts w:ascii="Candara" w:cs="Candara" w:eastAsia="Candara" w:hAnsi="Candara"/>
          <w:b w:val="1"/>
          <w:color w:val="e36c09"/>
          <w:sz w:val="28"/>
          <w:szCs w:val="28"/>
        </w:rPr>
      </w:pPr>
      <w:r w:rsidDel="00000000" w:rsidR="00000000" w:rsidRPr="00000000">
        <w:rPr>
          <w:rFonts w:ascii="Candara" w:cs="Candara" w:eastAsia="Candara" w:hAnsi="Candara"/>
          <w:b w:val="1"/>
          <w:color w:val="e36c09"/>
          <w:sz w:val="32"/>
          <w:szCs w:val="32"/>
          <w:rtl w:val="0"/>
        </w:rPr>
        <w:t xml:space="preserve">08 DIAS / 07 NOCHES</w:t>
      </w: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b w:val="1"/>
          <w:color w:val="e36c09"/>
        </w:rPr>
      </w:pPr>
      <w:bookmarkStart w:colFirst="0" w:colLast="0" w:name="_heading=h.g0fqxxer1tbk" w:id="0"/>
      <w:bookmarkEnd w:id="0"/>
      <w:r w:rsidDel="00000000" w:rsidR="00000000" w:rsidRPr="00000000">
        <w:rPr>
          <w:rFonts w:ascii="Arial Narrow" w:cs="Arial Narrow" w:eastAsia="Arial Narrow" w:hAnsi="Arial Narrow"/>
          <w:b w:val="1"/>
          <w:color w:val="e36c09"/>
          <w:rtl w:val="0"/>
        </w:rPr>
        <w:t xml:space="preserve">DÍA 1 / CIUDAD DE ORIGEN – MARRAKECH</w:t>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 Marrakech y traslado al hotel. Día libre en Marrakech. Cena y alojamiento.</w:t>
      </w:r>
    </w:p>
    <w:p w:rsidR="00000000" w:rsidDel="00000000" w:rsidP="00000000" w:rsidRDefault="00000000" w:rsidRPr="00000000" w14:paraId="0000000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2 / MARRAKECH   </w:t>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Visita monumental de Marrakech, incluyendo los Jardines de la Menara, la Mezquita de la Koutoubia y el Palacio del Bahía. La visita se completa con un paseo en la Medina y sus zocos, finalizando en la famosa Plaza Jama el Fnaa, patrimonio de la humanidad por la UNESCO. Resto del día libre. Cena y alojamiento.</w:t>
      </w:r>
    </w:p>
    <w:p w:rsidR="00000000" w:rsidDel="00000000" w:rsidP="00000000" w:rsidRDefault="00000000" w:rsidRPr="00000000" w14:paraId="0000000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b w:val="1"/>
          <w:color w:val="e36c09"/>
        </w:rPr>
      </w:pPr>
      <w:bookmarkStart w:colFirst="0" w:colLast="0" w:name="_heading=h.dlw96bjjzauw" w:id="1"/>
      <w:bookmarkEnd w:id="1"/>
      <w:r w:rsidDel="00000000" w:rsidR="00000000" w:rsidRPr="00000000">
        <w:rPr>
          <w:rFonts w:ascii="Arial Narrow" w:cs="Arial Narrow" w:eastAsia="Arial Narrow" w:hAnsi="Arial Narrow"/>
          <w:b w:val="1"/>
          <w:color w:val="e36c09"/>
          <w:rtl w:val="0"/>
        </w:rPr>
        <w:t xml:space="preserve">DÍA 3 / MARRAKECH – CASABLANCA  – RABAT – MEKNES – FEZ </w:t>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Casablanca. A la llegada, realizamos una panorámica de Casablanca incluyendo la plaza Mohamed V, la plaza de las Naciones Unidas, la Catedral Notre-Dame de Lourdes, La Corniche o paseo marítimo y los exteriores de la famosa mezquita Hassan II. Seguimos hacia Rabat y visita de la ciudad incluyendo el exterior del Palacio Real, la Torre Hassan, el Mausoleo Mohamed V y las ruinas de las Oudaya. Posterior salida hacia Meknes, ciudad imperial. Visita del Mausoleo Moulay Ismaïl y las puertas monumentales de Bab Khemis y Bab el Mansour. Continuación hacia Fez. Cena y alojamiento.</w:t>
      </w:r>
    </w:p>
    <w:p w:rsidR="00000000" w:rsidDel="00000000" w:rsidP="00000000" w:rsidRDefault="00000000" w:rsidRPr="00000000" w14:paraId="0000000D">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4 / FEZ</w:t>
      </w:r>
    </w:p>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a visita completa de la ciudad religiosa del país. Fundada en el siglo VIII por Idriss II está considerada como una de las 4 capitales imperiales. Durante esta visita realizan un recorrido por los lugares más emblemáticos, como son las puertas del palacio Real, el barrio judío y la fortaleza que cuenta con la mejor vista de Fez el Bali, la medina o ciudad antigua. </w:t>
      </w:r>
    </w:p>
    <w:p w:rsidR="00000000" w:rsidDel="00000000" w:rsidP="00000000" w:rsidRDefault="00000000" w:rsidRPr="00000000" w14:paraId="0000001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realiza un recorrido caminando de varias horas, accediendo por la famosa puerta de Bab el Jeloud y teniendo la posibilidad de vivir una vuelta al pasado en un parte de la ciudad que aún vive cerca de la edad media. Murallas que protegen su interior formado por cientos de callejuelas laberínticamente organizadas donde los clientes podrán vivir mil olores y sabores en este lugar considerado como patrimonio de la humanidad. Cena y alojamiento.</w:t>
      </w:r>
    </w:p>
    <w:p w:rsidR="00000000" w:rsidDel="00000000" w:rsidP="00000000" w:rsidRDefault="00000000" w:rsidRPr="00000000" w14:paraId="00000011">
      <w:pPr>
        <w:jc w:val="both"/>
        <w:rPr>
          <w:rFonts w:ascii="Arial Narrow" w:cs="Arial Narrow" w:eastAsia="Arial Narrow" w:hAnsi="Arial Narrow"/>
        </w:rPr>
      </w:pPr>
      <w:bookmarkStart w:colFirst="0" w:colLast="0" w:name="_heading=h.ht6lxmfr6mdc" w:id="2"/>
      <w:bookmarkEnd w:id="2"/>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5 / FEZ – MIDELT – ERFOUD </w:t>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en dirección al Medio Atlas, hacia Ifrane, pequeño pueblo montañoso conocido por su estación de esquí. Breve parada panorámica para disfrutar del paisaje y continuación hacia Midelt, capital del Medio Atlas, donde se realiza el almuerzo. Por la tarde, ruta hacia Er Rachidia disfrutando de paisajes semidesérticos y los primeros grandes palmerales, hasta llegar a Erfoud, capital de la región de Tafilalet y cuna de la dinastía Alaouita, reinante en Marruecos en la actualidad. Cena y alojamiento.</w:t>
      </w:r>
    </w:p>
    <w:p w:rsidR="00000000" w:rsidDel="00000000" w:rsidP="00000000" w:rsidRDefault="00000000" w:rsidRPr="00000000" w14:paraId="0000001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jc w:val="both"/>
        <w:rPr>
          <w:rFonts w:ascii="Arial Narrow" w:cs="Arial Narrow" w:eastAsia="Arial Narrow" w:hAnsi="Arial Narrow"/>
          <w:b w:val="1"/>
          <w:color w:val="e36c09"/>
        </w:rPr>
      </w:pPr>
      <w:bookmarkStart w:colFirst="0" w:colLast="0" w:name="_heading=h.3mx6d4woh3vc" w:id="3"/>
      <w:bookmarkEnd w:id="3"/>
      <w:r w:rsidDel="00000000" w:rsidR="00000000" w:rsidRPr="00000000">
        <w:rPr>
          <w:rFonts w:ascii="Arial Narrow" w:cs="Arial Narrow" w:eastAsia="Arial Narrow" w:hAnsi="Arial Narrow"/>
          <w:b w:val="1"/>
          <w:color w:val="e36c09"/>
          <w:rtl w:val="0"/>
        </w:rPr>
        <w:t xml:space="preserve">DÍA 6 / ERFOUD – TINERHIR – OUARZAZATE </w:t>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w:t>
      </w:r>
      <w:r w:rsidDel="00000000" w:rsidR="00000000" w:rsidRPr="00000000">
        <w:rPr>
          <w:rFonts w:ascii="Georgia" w:cs="Georgia" w:eastAsia="Georgia" w:hAnsi="Georgia"/>
          <w:sz w:val="22"/>
          <w:szCs w:val="22"/>
          <w:rtl w:val="0"/>
        </w:rPr>
        <w:t xml:space="preserve"> </w:t>
      </w:r>
      <w:r w:rsidDel="00000000" w:rsidR="00000000" w:rsidRPr="00000000">
        <w:rPr>
          <w:rFonts w:ascii="Arial Narrow" w:cs="Arial Narrow" w:eastAsia="Arial Narrow" w:hAnsi="Arial Narrow"/>
          <w:rtl w:val="0"/>
        </w:rPr>
        <w:t xml:space="preserve">Salida hacia Tinerhir para visitar este gran oasis y sus espectaculares gargantas naturales del Todra. Continuación hacia Ouarzazate donde nos alojaremos. Cena y alojamiento.</w:t>
      </w:r>
    </w:p>
    <w:p w:rsidR="00000000" w:rsidDel="00000000" w:rsidP="00000000" w:rsidRDefault="00000000" w:rsidRPr="00000000" w14:paraId="0000001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jc w:val="both"/>
        <w:rPr>
          <w:rFonts w:ascii="Arial Narrow" w:cs="Arial Narrow" w:eastAsia="Arial Narrow" w:hAnsi="Arial Narrow"/>
          <w:b w:val="1"/>
          <w:color w:val="e36c09"/>
        </w:rPr>
      </w:pPr>
      <w:bookmarkStart w:colFirst="0" w:colLast="0" w:name="_heading=h.7yuk2avn4nxl" w:id="4"/>
      <w:bookmarkEnd w:id="4"/>
      <w:r w:rsidDel="00000000" w:rsidR="00000000" w:rsidRPr="00000000">
        <w:rPr>
          <w:rFonts w:ascii="Arial Narrow" w:cs="Arial Narrow" w:eastAsia="Arial Narrow" w:hAnsi="Arial Narrow"/>
          <w:b w:val="1"/>
          <w:color w:val="e36c09"/>
          <w:rtl w:val="0"/>
        </w:rPr>
        <w:t xml:space="preserve">DÍA 7 / OUARZAZATE – MARRAKECH </w:t>
      </w:r>
    </w:p>
    <w:p w:rsidR="00000000" w:rsidDel="00000000" w:rsidP="00000000" w:rsidRDefault="00000000" w:rsidRPr="00000000" w14:paraId="0000001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w:t>
      </w:r>
      <w:r w:rsidDel="00000000" w:rsidR="00000000" w:rsidRPr="00000000">
        <w:rPr>
          <w:rFonts w:ascii="Georgia" w:cs="Georgia" w:eastAsia="Georgia" w:hAnsi="Georgia"/>
          <w:sz w:val="22"/>
          <w:szCs w:val="22"/>
          <w:rtl w:val="0"/>
        </w:rPr>
        <w:t xml:space="preserve"> </w:t>
      </w:r>
      <w:r w:rsidDel="00000000" w:rsidR="00000000" w:rsidRPr="00000000">
        <w:rPr>
          <w:rFonts w:ascii="Arial Narrow" w:cs="Arial Narrow" w:eastAsia="Arial Narrow" w:hAnsi="Arial Narrow"/>
          <w:rtl w:val="0"/>
        </w:rPr>
        <w:t xml:space="preserve">Salida hacia la Kasbah de Taourirt, en el pasado propiedad del Pacha Glaoui. Continuación de la ruta hacia la ciudad fortificada de Ait Benhaddou para la visita de su célebre kasbah, declarada patrimonio de la humanidad por la UNESCO. Salida en dirección a Marrakech cruzando el collado Tizi’n Tichka puerto de montaña situado a 2.260 metros de altitud. Llegada a Marrakech, cena y alojamiento.</w:t>
      </w:r>
    </w:p>
    <w:p w:rsidR="00000000" w:rsidDel="00000000" w:rsidP="00000000" w:rsidRDefault="00000000" w:rsidRPr="00000000" w14:paraId="0000001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8 / MARRAKECH </w:t>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w:t>
      </w:r>
      <w:r w:rsidDel="00000000" w:rsidR="00000000" w:rsidRPr="00000000">
        <w:rPr>
          <w:rFonts w:ascii="Georgia" w:cs="Georgia" w:eastAsia="Georgia" w:hAnsi="Georgia"/>
          <w:sz w:val="22"/>
          <w:szCs w:val="22"/>
          <w:rtl w:val="0"/>
        </w:rPr>
        <w:t xml:space="preserve"> </w:t>
      </w:r>
      <w:r w:rsidDel="00000000" w:rsidR="00000000" w:rsidRPr="00000000">
        <w:rPr>
          <w:rFonts w:ascii="Arial Narrow" w:cs="Arial Narrow" w:eastAsia="Arial Narrow" w:hAnsi="Arial Narrow"/>
          <w:rtl w:val="0"/>
        </w:rPr>
        <w:t xml:space="preserve">Traslado al aeropuerto de Marrakech y fin de nuestros servicios.</w:t>
      </w:r>
    </w:p>
    <w:p w:rsidR="00000000" w:rsidDel="00000000" w:rsidP="00000000" w:rsidRDefault="00000000" w:rsidRPr="00000000" w14:paraId="0000002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SALIDAS PREVISTAS</w:t>
      </w:r>
    </w:p>
    <w:p w:rsidR="00000000" w:rsidDel="00000000" w:rsidP="00000000" w:rsidRDefault="00000000" w:rsidRPr="00000000" w14:paraId="00000024">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Salidas todos los domingos del 07 de septiembre 2025 al 29 de marzo 2026</w:t>
      </w:r>
    </w:p>
    <w:p w:rsidR="00000000" w:rsidDel="00000000" w:rsidP="00000000" w:rsidRDefault="00000000" w:rsidRPr="00000000" w14:paraId="0000002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6">
      <w:pPr>
        <w:jc w:val="center"/>
        <w:rPr>
          <w:rFonts w:ascii="Arial Narrow" w:cs="Arial Narrow" w:eastAsia="Arial Narrow" w:hAnsi="Arial Narrow"/>
        </w:rPr>
      </w:pPr>
      <w:r w:rsidDel="00000000" w:rsidR="00000000" w:rsidRPr="00000000">
        <w:rPr>
          <w:rFonts w:ascii="Arial Narrow" w:cs="Arial Narrow" w:eastAsia="Arial Narrow" w:hAnsi="Arial Narrow"/>
          <w:b w:val="1"/>
          <w:color w:val="e36c09"/>
          <w:rtl w:val="0"/>
        </w:rPr>
        <w:t xml:space="preserve">PRECIOS POR PERSONA EN DOBLES</w:t>
      </w:r>
      <w:r w:rsidDel="00000000" w:rsidR="00000000" w:rsidRPr="00000000">
        <w:rPr>
          <w:rtl w:val="0"/>
        </w:rPr>
      </w:r>
    </w:p>
    <w:tbl>
      <w:tblPr>
        <w:tblStyle w:val="Table1"/>
        <w:tblW w:w="7229.000000000001" w:type="dxa"/>
        <w:jc w:val="left"/>
        <w:tblInd w:w="12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2268"/>
        <w:gridCol w:w="1842"/>
        <w:tblGridChange w:id="0">
          <w:tblGrid>
            <w:gridCol w:w="3119"/>
            <w:gridCol w:w="2268"/>
            <w:gridCol w:w="1842"/>
          </w:tblGrid>
        </w:tblGridChange>
      </w:tblGrid>
      <w:tr>
        <w:trPr>
          <w:cantSplit w:val="0"/>
          <w:tblHeader w:val="0"/>
        </w:trPr>
        <w:tc>
          <w:tcPr/>
          <w:p w:rsidR="00000000" w:rsidDel="00000000" w:rsidP="00000000" w:rsidRDefault="00000000" w:rsidRPr="00000000" w14:paraId="00000027">
            <w:pPr>
              <w:tabs>
                <w:tab w:val="left" w:leader="none" w:pos="1488"/>
              </w:tabs>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Temporada</w:t>
            </w:r>
          </w:p>
        </w:tc>
        <w:tc>
          <w:tcPr/>
          <w:p w:rsidR="00000000" w:rsidDel="00000000" w:rsidP="00000000" w:rsidRDefault="00000000" w:rsidRPr="00000000" w14:paraId="00000028">
            <w:pPr>
              <w:tabs>
                <w:tab w:val="left" w:leader="none" w:pos="1488"/>
              </w:tabs>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Precio en Hab. Doble</w:t>
            </w:r>
          </w:p>
        </w:tc>
        <w:tc>
          <w:tcPr/>
          <w:p w:rsidR="00000000" w:rsidDel="00000000" w:rsidP="00000000" w:rsidRDefault="00000000" w:rsidRPr="00000000" w14:paraId="00000029">
            <w:pPr>
              <w:tabs>
                <w:tab w:val="left" w:leader="none" w:pos="1488"/>
              </w:tabs>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Precio Hab. Single</w:t>
            </w:r>
          </w:p>
        </w:tc>
      </w:tr>
      <w:tr>
        <w:trPr>
          <w:cantSplit w:val="0"/>
          <w:tblHeader w:val="0"/>
        </w:trPr>
        <w:tc>
          <w:tcPr/>
          <w:p w:rsidR="00000000" w:rsidDel="00000000" w:rsidP="00000000" w:rsidRDefault="00000000" w:rsidRPr="00000000" w14:paraId="0000002A">
            <w:pPr>
              <w:tabs>
                <w:tab w:val="left" w:leader="none" w:pos="1488"/>
              </w:tabs>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Alta: </w:t>
            </w:r>
            <w:r w:rsidDel="00000000" w:rsidR="00000000" w:rsidRPr="00000000">
              <w:rPr>
                <w:rFonts w:ascii="Arial Narrow" w:cs="Arial Narrow" w:eastAsia="Arial Narrow" w:hAnsi="Arial Narrow"/>
                <w:rtl w:val="0"/>
              </w:rPr>
              <w:t xml:space="preserve">Sep 07 y 28. Todo Oct y toda Mar.</w:t>
            </w:r>
          </w:p>
        </w:tc>
        <w:tc>
          <w:tcPr/>
          <w:p w:rsidR="00000000" w:rsidDel="00000000" w:rsidP="00000000" w:rsidRDefault="00000000" w:rsidRPr="00000000" w14:paraId="0000002B">
            <w:pPr>
              <w:tabs>
                <w:tab w:val="left" w:leader="none" w:pos="1488"/>
              </w:tabs>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$ 960</w:t>
            </w:r>
          </w:p>
        </w:tc>
        <w:tc>
          <w:tcPr/>
          <w:p w:rsidR="00000000" w:rsidDel="00000000" w:rsidP="00000000" w:rsidRDefault="00000000" w:rsidRPr="00000000" w14:paraId="0000002C">
            <w:pPr>
              <w:tabs>
                <w:tab w:val="left" w:leader="none" w:pos="1488"/>
              </w:tabs>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$ 1,250</w:t>
            </w:r>
          </w:p>
        </w:tc>
      </w:tr>
      <w:tr>
        <w:trPr>
          <w:cantSplit w:val="0"/>
          <w:tblHeader w:val="0"/>
        </w:trPr>
        <w:tc>
          <w:tcPr/>
          <w:p w:rsidR="00000000" w:rsidDel="00000000" w:rsidP="00000000" w:rsidRDefault="00000000" w:rsidRPr="00000000" w14:paraId="0000002D">
            <w:pPr>
              <w:tabs>
                <w:tab w:val="left" w:leader="none" w:pos="1488"/>
              </w:tabs>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Media:</w:t>
            </w:r>
            <w:r w:rsidDel="00000000" w:rsidR="00000000" w:rsidRPr="00000000">
              <w:rPr>
                <w:rFonts w:ascii="Arial Narrow" w:cs="Arial Narrow" w:eastAsia="Arial Narrow" w:hAnsi="Arial Narrow"/>
                <w:rtl w:val="0"/>
              </w:rPr>
              <w:t xml:space="preserve"> Sep 14 y 21. Todo Nov, Ene, Feb. Y Dic 07 y 14.</w:t>
            </w:r>
          </w:p>
        </w:tc>
        <w:tc>
          <w:tcPr/>
          <w:p w:rsidR="00000000" w:rsidDel="00000000" w:rsidP="00000000" w:rsidRDefault="00000000" w:rsidRPr="00000000" w14:paraId="0000002E">
            <w:pPr>
              <w:tabs>
                <w:tab w:val="left" w:leader="none" w:pos="1488"/>
              </w:tabs>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$ 940</w:t>
            </w:r>
          </w:p>
        </w:tc>
        <w:tc>
          <w:tcPr/>
          <w:p w:rsidR="00000000" w:rsidDel="00000000" w:rsidP="00000000" w:rsidRDefault="00000000" w:rsidRPr="00000000" w14:paraId="0000002F">
            <w:pPr>
              <w:tabs>
                <w:tab w:val="left" w:leader="none" w:pos="1488"/>
              </w:tabs>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$ 1,225</w:t>
            </w:r>
          </w:p>
        </w:tc>
      </w:tr>
      <w:tr>
        <w:trPr>
          <w:cantSplit w:val="0"/>
          <w:tblHeader w:val="0"/>
        </w:trPr>
        <w:tc>
          <w:tcPr/>
          <w:p w:rsidR="00000000" w:rsidDel="00000000" w:rsidP="00000000" w:rsidRDefault="00000000" w:rsidRPr="00000000" w14:paraId="00000030">
            <w:pPr>
              <w:tabs>
                <w:tab w:val="left" w:leader="none" w:pos="1488"/>
              </w:tabs>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Salidas de:</w:t>
            </w:r>
            <w:r w:rsidDel="00000000" w:rsidR="00000000" w:rsidRPr="00000000">
              <w:rPr>
                <w:rFonts w:ascii="Arial Narrow" w:cs="Arial Narrow" w:eastAsia="Arial Narrow" w:hAnsi="Arial Narrow"/>
                <w:rtl w:val="0"/>
              </w:rPr>
              <w:t xml:space="preserve"> 21 y 28 de Dic.</w:t>
            </w:r>
          </w:p>
        </w:tc>
        <w:tc>
          <w:tcPr/>
          <w:p w:rsidR="00000000" w:rsidDel="00000000" w:rsidP="00000000" w:rsidRDefault="00000000" w:rsidRPr="00000000" w14:paraId="00000031">
            <w:pPr>
              <w:tabs>
                <w:tab w:val="left" w:leader="none" w:pos="1488"/>
              </w:tabs>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$ 1,160</w:t>
            </w:r>
          </w:p>
        </w:tc>
        <w:tc>
          <w:tcPr/>
          <w:p w:rsidR="00000000" w:rsidDel="00000000" w:rsidP="00000000" w:rsidRDefault="00000000" w:rsidRPr="00000000" w14:paraId="00000032">
            <w:pPr>
              <w:tabs>
                <w:tab w:val="left" w:leader="none" w:pos="1488"/>
              </w:tabs>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$ 1,450</w:t>
            </w:r>
          </w:p>
        </w:tc>
      </w:tr>
    </w:tbl>
    <w:p w:rsidR="00000000" w:rsidDel="00000000" w:rsidP="00000000" w:rsidRDefault="00000000" w:rsidRPr="00000000" w14:paraId="00000033">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b w:val="1"/>
        </w:rPr>
      </w:pPr>
      <w:bookmarkStart w:colFirst="0" w:colLast="0" w:name="_heading=h.rfjh23bxinfk" w:id="5"/>
      <w:bookmarkEnd w:id="5"/>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i w:val="0"/>
          <w:smallCaps w:val="0"/>
          <w:strike w:val="0"/>
          <w:color w:val="e36c09"/>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Transporte en autocar de lujo.</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i w:val="0"/>
          <w:smallCaps w:val="0"/>
          <w:strike w:val="0"/>
          <w:color w:val="e36c09"/>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Guía de habla hispana. Con menos de 12 pax, chofer – guía.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i w:val="0"/>
          <w:smallCaps w:val="0"/>
          <w:strike w:val="0"/>
          <w:color w:val="e36c09"/>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en habitaciones con baño privado. Media pensión (cenas) todo el recorrido.</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i w:val="0"/>
          <w:smallCaps w:val="0"/>
          <w:strike w:val="0"/>
          <w:color w:val="e36c09"/>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Traslados de llegada y salida en Marrakech. Solo el día de inicio y fin del tour, en caso de noches adicionales, los traslados serán con cargo adicional.</w:t>
      </w:r>
      <w:r w:rsidDel="00000000" w:rsidR="00000000" w:rsidRPr="00000000">
        <w:rPr>
          <w:rtl w:val="0"/>
        </w:rPr>
      </w:r>
    </w:p>
    <w:p w:rsidR="00000000" w:rsidDel="00000000" w:rsidP="00000000" w:rsidRDefault="00000000" w:rsidRPr="00000000" w14:paraId="00000039">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A">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internacionales.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Propinas para guía, conductor, etc. no incluidas.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Cualquier otro servicio no detallado.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jc w:val="left"/>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2">
      <w:pPr>
        <w:jc w:val="left"/>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3">
      <w:pPr>
        <w:jc w:val="center"/>
        <w:rPr>
          <w:rFonts w:ascii="Arial Narrow" w:cs="Arial Narrow" w:eastAsia="Arial Narrow" w:hAnsi="Arial Narrow"/>
          <w:b w:val="1"/>
          <w:color w:val="e36c09"/>
        </w:rPr>
      </w:pPr>
      <w:bookmarkStart w:colFirst="0" w:colLast="0" w:name="_heading=h.wxmklwy7na7f" w:id="6"/>
      <w:bookmarkEnd w:id="6"/>
      <w:r w:rsidDel="00000000" w:rsidR="00000000" w:rsidRPr="00000000">
        <w:rPr>
          <w:rFonts w:ascii="Arial Narrow" w:cs="Arial Narrow" w:eastAsia="Arial Narrow" w:hAnsi="Arial Narrow"/>
          <w:b w:val="1"/>
          <w:color w:val="e36c09"/>
          <w:rtl w:val="0"/>
        </w:rPr>
        <w:t xml:space="preserve">HOTELES PREVISTOS Y/O SIMILARES*</w:t>
      </w:r>
    </w:p>
    <w:p w:rsidR="00000000" w:rsidDel="00000000" w:rsidP="00000000" w:rsidRDefault="00000000" w:rsidRPr="00000000" w14:paraId="00000044">
      <w:pPr>
        <w:jc w:val="center"/>
        <w:rPr>
          <w:rFonts w:ascii="Arial Narrow" w:cs="Arial Narrow" w:eastAsia="Arial Narrow" w:hAnsi="Arial Narrow"/>
          <w:b w:val="1"/>
          <w:color w:val="e36c09"/>
        </w:rPr>
      </w:pPr>
      <w:bookmarkStart w:colFirst="0" w:colLast="0" w:name="_heading=h.jvhyvhumt57t" w:id="7"/>
      <w:bookmarkEnd w:id="7"/>
      <w:r w:rsidDel="00000000" w:rsidR="00000000" w:rsidRPr="00000000">
        <w:rPr>
          <w:rtl w:val="0"/>
        </w:rPr>
      </w:r>
    </w:p>
    <w:tbl>
      <w:tblPr>
        <w:tblStyle w:val="Table2"/>
        <w:tblW w:w="6001.0" w:type="dxa"/>
        <w:jc w:val="left"/>
        <w:tblInd w:w="13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3"/>
        <w:gridCol w:w="3828"/>
        <w:tblGridChange w:id="0">
          <w:tblGrid>
            <w:gridCol w:w="2173"/>
            <w:gridCol w:w="3828"/>
          </w:tblGrid>
        </w:tblGridChange>
      </w:tblGrid>
      <w:tr>
        <w:trPr>
          <w:cantSplit w:val="0"/>
          <w:tblHeader w:val="0"/>
        </w:trPr>
        <w:tc>
          <w:tcPr/>
          <w:p w:rsidR="00000000" w:rsidDel="00000000" w:rsidP="00000000" w:rsidRDefault="00000000" w:rsidRPr="00000000" w14:paraId="00000045">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p w:rsidR="00000000" w:rsidDel="00000000" w:rsidP="00000000" w:rsidRDefault="00000000" w:rsidRPr="00000000" w14:paraId="00000046">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 </w:t>
            </w:r>
          </w:p>
        </w:tc>
      </w:tr>
      <w:tr>
        <w:trPr>
          <w:cantSplit w:val="0"/>
          <w:tblHeader w:val="0"/>
        </w:trPr>
        <w:tc>
          <w:tcPr/>
          <w:p w:rsidR="00000000" w:rsidDel="00000000" w:rsidP="00000000" w:rsidRDefault="00000000" w:rsidRPr="00000000" w14:paraId="0000004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MARRAKECH</w:t>
            </w:r>
          </w:p>
        </w:tc>
        <w:tc>
          <w:tcPr>
            <w:vAlign w:val="center"/>
          </w:tcPr>
          <w:p w:rsidR="00000000" w:rsidDel="00000000" w:rsidP="00000000" w:rsidRDefault="00000000" w:rsidRPr="00000000" w14:paraId="00000048">
            <w:pPr>
              <w:jc w:val="center"/>
              <w:rPr>
                <w:rFonts w:ascii="Arial Narrow" w:cs="Arial Narrow" w:eastAsia="Arial Narrow" w:hAnsi="Arial Narrow"/>
              </w:rPr>
            </w:pPr>
            <w:hyperlink r:id="rId7">
              <w:r w:rsidDel="00000000" w:rsidR="00000000" w:rsidRPr="00000000">
                <w:rPr>
                  <w:rFonts w:ascii="Arial Narrow" w:cs="Arial Narrow" w:eastAsia="Arial Narrow" w:hAnsi="Arial Narrow"/>
                  <w:color w:val="1155cc"/>
                  <w:u w:val="single"/>
                  <w:rtl w:val="0"/>
                </w:rPr>
                <w:t xml:space="preserve">Zalagh Kasbah</w:t>
              </w:r>
            </w:hyperlink>
            <w:r w:rsidDel="00000000" w:rsidR="00000000" w:rsidRPr="00000000">
              <w:rPr>
                <w:rFonts w:ascii="Arial Narrow" w:cs="Arial Narrow" w:eastAsia="Arial Narrow" w:hAnsi="Arial Narrow"/>
                <w:rtl w:val="0"/>
              </w:rPr>
              <w:t xml:space="preserve"> 4*</w:t>
            </w:r>
          </w:p>
        </w:tc>
      </w:tr>
      <w:tr>
        <w:trPr>
          <w:cantSplit w:val="0"/>
          <w:trHeight w:val="255.39062499999773" w:hRule="atLeast"/>
          <w:tblHeader w:val="0"/>
        </w:trPr>
        <w:tc>
          <w:tcPr/>
          <w:p w:rsidR="00000000" w:rsidDel="00000000" w:rsidP="00000000" w:rsidRDefault="00000000" w:rsidRPr="00000000" w14:paraId="0000004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FEZ</w:t>
            </w:r>
          </w:p>
        </w:tc>
        <w:tc>
          <w:tcPr>
            <w:vAlign w:val="center"/>
          </w:tcPr>
          <w:p w:rsidR="00000000" w:rsidDel="00000000" w:rsidP="00000000" w:rsidRDefault="00000000" w:rsidRPr="00000000" w14:paraId="0000004A">
            <w:pPr>
              <w:jc w:val="center"/>
              <w:rPr>
                <w:rFonts w:ascii="Arial Narrow" w:cs="Arial Narrow" w:eastAsia="Arial Narrow" w:hAnsi="Arial Narrow"/>
              </w:rPr>
            </w:pPr>
            <w:hyperlink r:id="rId8">
              <w:r w:rsidDel="00000000" w:rsidR="00000000" w:rsidRPr="00000000">
                <w:rPr>
                  <w:rFonts w:ascii="Arial Narrow" w:cs="Arial Narrow" w:eastAsia="Arial Narrow" w:hAnsi="Arial Narrow"/>
                  <w:color w:val="1155cc"/>
                  <w:u w:val="single"/>
                  <w:rtl w:val="0"/>
                </w:rPr>
                <w:t xml:space="preserve">Menzah Zalagh</w:t>
              </w:r>
            </w:hyperlink>
            <w:r w:rsidDel="00000000" w:rsidR="00000000" w:rsidRPr="00000000">
              <w:rPr>
                <w:rFonts w:ascii="Arial Narrow" w:cs="Arial Narrow" w:eastAsia="Arial Narrow" w:hAnsi="Arial Narrow"/>
                <w:rtl w:val="0"/>
              </w:rPr>
              <w:t xml:space="preserve"> 4*</w:t>
            </w:r>
          </w:p>
        </w:tc>
      </w:tr>
      <w:tr>
        <w:trPr>
          <w:cantSplit w:val="0"/>
          <w:tblHeader w:val="0"/>
        </w:trPr>
        <w:tc>
          <w:tcPr/>
          <w:p w:rsidR="00000000" w:rsidDel="00000000" w:rsidP="00000000" w:rsidRDefault="00000000" w:rsidRPr="00000000" w14:paraId="0000004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ERFOUD</w:t>
            </w:r>
          </w:p>
        </w:tc>
        <w:tc>
          <w:tcPr>
            <w:vAlign w:val="center"/>
          </w:tcPr>
          <w:p w:rsidR="00000000" w:rsidDel="00000000" w:rsidP="00000000" w:rsidRDefault="00000000" w:rsidRPr="00000000" w14:paraId="0000004C">
            <w:pPr>
              <w:jc w:val="center"/>
              <w:rPr>
                <w:rFonts w:ascii="Arial Narrow" w:cs="Arial Narrow" w:eastAsia="Arial Narrow" w:hAnsi="Arial Narrow"/>
              </w:rPr>
            </w:pPr>
            <w:hyperlink r:id="rId9">
              <w:r w:rsidDel="00000000" w:rsidR="00000000" w:rsidRPr="00000000">
                <w:rPr>
                  <w:rFonts w:ascii="Arial Narrow" w:cs="Arial Narrow" w:eastAsia="Arial Narrow" w:hAnsi="Arial Narrow"/>
                  <w:color w:val="1155cc"/>
                  <w:u w:val="single"/>
                  <w:rtl w:val="0"/>
                </w:rPr>
                <w:t xml:space="preserve">Belere</w:t>
              </w:r>
            </w:hyperlink>
            <w:r w:rsidDel="00000000" w:rsidR="00000000" w:rsidRPr="00000000">
              <w:rPr>
                <w:rFonts w:ascii="Arial Narrow" w:cs="Arial Narrow" w:eastAsia="Arial Narrow" w:hAnsi="Arial Narrow"/>
                <w:rtl w:val="0"/>
              </w:rPr>
              <w:t xml:space="preserve"> 4*</w:t>
            </w:r>
          </w:p>
        </w:tc>
      </w:tr>
      <w:tr>
        <w:trPr>
          <w:cantSplit w:val="0"/>
          <w:tblHeader w:val="0"/>
        </w:trPr>
        <w:tc>
          <w:tcPr/>
          <w:p w:rsidR="00000000" w:rsidDel="00000000" w:rsidP="00000000" w:rsidRDefault="00000000" w:rsidRPr="00000000" w14:paraId="0000004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OUARZAZATE</w:t>
            </w:r>
          </w:p>
        </w:tc>
        <w:tc>
          <w:tcPr>
            <w:vAlign w:val="center"/>
          </w:tcPr>
          <w:p w:rsidR="00000000" w:rsidDel="00000000" w:rsidP="00000000" w:rsidRDefault="00000000" w:rsidRPr="00000000" w14:paraId="0000004E">
            <w:pPr>
              <w:jc w:val="center"/>
              <w:rPr>
                <w:rFonts w:ascii="Arial Narrow" w:cs="Arial Narrow" w:eastAsia="Arial Narrow" w:hAnsi="Arial Narrow"/>
              </w:rPr>
            </w:pPr>
            <w:hyperlink r:id="rId10">
              <w:r w:rsidDel="00000000" w:rsidR="00000000" w:rsidRPr="00000000">
                <w:rPr>
                  <w:rFonts w:ascii="Arial Narrow" w:cs="Arial Narrow" w:eastAsia="Arial Narrow" w:hAnsi="Arial Narrow"/>
                  <w:color w:val="1155cc"/>
                  <w:u w:val="single"/>
                  <w:rtl w:val="0"/>
                </w:rPr>
                <w:t xml:space="preserve">Tirika</w:t>
              </w:r>
            </w:hyperlink>
            <w:r w:rsidDel="00000000" w:rsidR="00000000" w:rsidRPr="00000000">
              <w:rPr>
                <w:rFonts w:ascii="Arial Narrow" w:cs="Arial Narrow" w:eastAsia="Arial Narrow" w:hAnsi="Arial Narrow"/>
                <w:rtl w:val="0"/>
              </w:rPr>
              <w:t xml:space="preserve"> 3*</w:t>
            </w:r>
          </w:p>
        </w:tc>
      </w:tr>
    </w:tbl>
    <w:p w:rsidR="00000000" w:rsidDel="00000000" w:rsidP="00000000" w:rsidRDefault="00000000" w:rsidRPr="00000000" w14:paraId="0000004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1">
      <w:pPr>
        <w:jc w:val="center"/>
        <w:rPr>
          <w:rFonts w:ascii="Arial Narrow" w:cs="Arial Narrow" w:eastAsia="Arial Narrow" w:hAnsi="Arial Narrow"/>
          <w:color w:val="e36c09"/>
          <w:sz w:val="32"/>
          <w:szCs w:val="32"/>
        </w:rPr>
      </w:pPr>
      <w:r w:rsidDel="00000000" w:rsidR="00000000" w:rsidRPr="00000000">
        <w:rPr>
          <w:rFonts w:ascii="Arial Narrow" w:cs="Arial Narrow" w:eastAsia="Arial Narrow" w:hAnsi="Arial Narrow"/>
          <w:b w:val="1"/>
          <w:color w:val="e36c09"/>
          <w:sz w:val="32"/>
          <w:szCs w:val="32"/>
          <w:rtl w:val="0"/>
        </w:rPr>
        <w:t xml:space="preserve">PRECIOS Y DISPONIBILIDAD SUJETOS A CAMBIO HASTA EL MOMENTO DE LA CONFIRMACIÓN DE LOS SERVICIOS, ESTO ES SOLO UNA COTIZACIÓN, NO HAY NADA RESERVADO A SU FAVOR</w:t>
      </w:r>
      <w:r w:rsidDel="00000000" w:rsidR="00000000" w:rsidRPr="00000000">
        <w:rPr>
          <w:rtl w:val="0"/>
        </w:rPr>
      </w:r>
    </w:p>
    <w:sectPr>
      <w:headerReference r:id="rId11" w:type="default"/>
      <w:pgSz w:h="15840" w:w="12240"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Ttulo5Car" w:customStyle="1">
    <w:name w:val="Título 5 Car"/>
    <w:basedOn w:val="Fuentedeprrafopredeter"/>
    <w:link w:val="Ttulo5"/>
    <w:uiPriority w:val="9"/>
    <w:semiHidden w:val="1"/>
    <w:rsid w:val="007E3E7B"/>
    <w:rPr>
      <w:rFonts w:asciiTheme="majorHAnsi" w:cstheme="majorBidi" w:eastAsiaTheme="majorEastAsia" w:hAnsiTheme="majorHAnsi"/>
      <w:color w:val="365f91" w:themeColor="accent1" w:themeShade="0000BF"/>
      <w:sz w:val="24"/>
      <w:szCs w:val="24"/>
    </w:rPr>
  </w:style>
  <w:style w:type="character" w:styleId="Ttulo1Car" w:customStyle="1">
    <w:name w:val="Título 1 Car"/>
    <w:basedOn w:val="Fuentedeprrafopredeter"/>
    <w:link w:val="Ttulo1"/>
    <w:uiPriority w:val="9"/>
    <w:rsid w:val="00B10ED7"/>
    <w:rPr>
      <w:rFonts w:asciiTheme="majorHAnsi" w:cstheme="majorBidi" w:eastAsiaTheme="majorEastAsia" w:hAnsiTheme="majorHAnsi"/>
      <w:color w:val="365f91" w:themeColor="accent1" w:themeShade="0000BF"/>
      <w:sz w:val="32"/>
      <w:szCs w:val="32"/>
    </w:rPr>
  </w:style>
  <w:style w:type="character" w:styleId="Ttulo4Car" w:customStyle="1">
    <w:name w:val="Título 4 Car"/>
    <w:basedOn w:val="Fuentedeprrafopredeter"/>
    <w:link w:val="Ttulo4"/>
    <w:uiPriority w:val="9"/>
    <w:semiHidden w:val="1"/>
    <w:rsid w:val="008E6828"/>
    <w:rPr>
      <w:rFonts w:asciiTheme="majorHAnsi" w:cstheme="majorBidi" w:eastAsiaTheme="majorEastAsia" w:hAnsiTheme="majorHAnsi"/>
      <w:i w:val="1"/>
      <w:iCs w:val="1"/>
      <w:color w:val="365f91" w:themeColor="accent1" w:themeShade="0000BF"/>
      <w:sz w:val="24"/>
      <w:szCs w:val="24"/>
    </w:rPr>
  </w:style>
  <w:style w:type="paragraph" w:styleId="HTMLconformatoprevio">
    <w:name w:val="HTML Preformatted"/>
    <w:basedOn w:val="Normal"/>
    <w:link w:val="HTMLconformatoprevioCar"/>
    <w:uiPriority w:val="99"/>
    <w:semiHidden w:val="1"/>
    <w:unhideWhenUsed w:val="1"/>
    <w:rsid w:val="00EC3CFA"/>
    <w:rPr>
      <w:rFonts w:ascii="Consolas" w:hAnsi="Consolas"/>
      <w:sz w:val="20"/>
      <w:szCs w:val="20"/>
    </w:rPr>
  </w:style>
  <w:style w:type="character" w:styleId="HTMLconformatoprevioCar" w:customStyle="1">
    <w:name w:val="HTML con formato previo Car"/>
    <w:basedOn w:val="Fuentedeprrafopredeter"/>
    <w:link w:val="HTMLconformatoprevio"/>
    <w:uiPriority w:val="99"/>
    <w:semiHidden w:val="1"/>
    <w:rsid w:val="00EC3CFA"/>
    <w:rPr>
      <w:rFonts w:ascii="Consolas" w:cs="Times New Roman" w:eastAsia="Calibri" w:hAnsi="Consolas"/>
      <w:sz w:val="20"/>
      <w:szCs w:val="20"/>
    </w:rPr>
  </w:style>
  <w:style w:type="character" w:styleId="Hipervnculo">
    <w:name w:val="Hyperlink"/>
    <w:basedOn w:val="Fuentedeprrafopredeter"/>
    <w:uiPriority w:val="99"/>
    <w:unhideWhenUsed w:val="1"/>
    <w:rsid w:val="00785202"/>
    <w:rPr>
      <w:color w:val="0000ff" w:themeColor="hyperlink"/>
      <w:u w:val="single"/>
    </w:rPr>
  </w:style>
  <w:style w:type="character" w:styleId="Mencinsinresolver">
    <w:name w:val="Unresolved Mention"/>
    <w:basedOn w:val="Fuentedeprrafopredeter"/>
    <w:uiPriority w:val="99"/>
    <w:semiHidden w:val="1"/>
    <w:unhideWhenUsed w:val="1"/>
    <w:rsid w:val="00785202"/>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bht.az/en/accommodation/master-3455323/tirika-hotel-la-gazelle" TargetMode="External"/><Relationship Id="rId9" Type="http://schemas.openxmlformats.org/officeDocument/2006/relationships/hyperlink" Target="http://hotelbelereerfoud.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alaghkasbahspa.hotels-marrakesh.com/es/" TargetMode="External"/><Relationship Id="rId8" Type="http://schemas.openxmlformats.org/officeDocument/2006/relationships/hyperlink" Target="https://menzehzalaghcitycenter.morocco-ma.websi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mVfop4EoINn3dBRo4lSZd/UvOQ==">CgMxLjAyDmguZzBmcXh4ZXIxdGJrMg5oLmRsdzk2YmpqemF1dzIOaC5odDZseG1mcjZtZGMyDmguM214NmQ0d29oM3ZjMg5oLjd5dWsyYXZuNG54bDIOaC5yZmpoMjNieGluZmsyDmgud3hta2x3eTduYTdmMg5oLmp2aHl2aHVtdDU3dDgAciExM1RrbGNyeVloSUVES0E2SnRuMDFjMS1fZi1EWkpTNEk=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2025-09-17T19:01:00Z</dcterms:created>
  <dc:creator>Alicia Diaz</dc:creator>
</cp:coreProperties>
</file>