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9394B" w14:textId="5176601D" w:rsidR="007A660F" w:rsidRDefault="00DE4D4E" w:rsidP="0089508B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>
        <w:rPr>
          <w:rFonts w:ascii="Lora Medium" w:hAnsi="Lora Medium"/>
          <w:b/>
          <w:color w:val="E36C0A" w:themeColor="accent6" w:themeShade="BF"/>
          <w:sz w:val="52"/>
          <w:szCs w:val="52"/>
        </w:rPr>
        <w:t>AURORAS BOREALES YUKON</w:t>
      </w:r>
    </w:p>
    <w:p w14:paraId="7BE51B7D" w14:textId="218A00F6" w:rsidR="00D4640C" w:rsidRPr="000663ED" w:rsidRDefault="00634115" w:rsidP="0089508B">
      <w:pPr>
        <w:jc w:val="center"/>
        <w:rPr>
          <w:rFonts w:ascii="Arial Narrow" w:hAnsi="Arial Narrow"/>
          <w:b/>
          <w:color w:val="E36C0A" w:themeColor="accent6" w:themeShade="BF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0</w:t>
      </w:r>
      <w:r w:rsidR="00DE4D4E">
        <w:rPr>
          <w:rFonts w:ascii="Arial Narrow" w:hAnsi="Arial Narrow"/>
          <w:b/>
          <w:color w:val="E36C0A" w:themeColor="accent6" w:themeShade="BF"/>
          <w:sz w:val="28"/>
          <w:szCs w:val="28"/>
        </w:rPr>
        <w:t>5</w:t>
      </w:r>
      <w:r w:rsidR="002416BF" w:rsidRPr="000663ED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</w:t>
      </w:r>
      <w:r w:rsidR="003021B2" w:rsidRPr="000663ED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DIAS / 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0</w:t>
      </w:r>
      <w:r w:rsidR="00DE4D4E">
        <w:rPr>
          <w:rFonts w:ascii="Arial Narrow" w:hAnsi="Arial Narrow"/>
          <w:b/>
          <w:color w:val="E36C0A" w:themeColor="accent6" w:themeShade="BF"/>
          <w:sz w:val="28"/>
          <w:szCs w:val="28"/>
        </w:rPr>
        <w:t>4</w:t>
      </w:r>
      <w:r w:rsidR="00DA189E" w:rsidRPr="000663ED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4F69B33A" w14:textId="00D4E5A0" w:rsidR="008A2310" w:rsidRPr="000663ED" w:rsidRDefault="008A2310" w:rsidP="00A50478">
      <w:pPr>
        <w:jc w:val="both"/>
        <w:rPr>
          <w:rFonts w:ascii="Arial Narrow" w:hAnsi="Arial Narrow"/>
          <w:bCs/>
          <w:color w:val="E36C0A" w:themeColor="accent6" w:themeShade="BF"/>
        </w:rPr>
      </w:pPr>
    </w:p>
    <w:p w14:paraId="71481EB4" w14:textId="2597F693" w:rsidR="00A50478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01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 /</w:t>
      </w:r>
      <w:r w:rsidR="007C13A0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B20F82" w:rsidRPr="000663ED">
        <w:rPr>
          <w:rFonts w:ascii="Arial Narrow" w:hAnsi="Arial Narrow"/>
          <w:b/>
          <w:bCs/>
          <w:color w:val="E36C0A" w:themeColor="accent6" w:themeShade="BF"/>
        </w:rPr>
        <w:t xml:space="preserve">CIUDAD DE ORIGEN – </w:t>
      </w:r>
      <w:r w:rsidR="00DE4D4E">
        <w:rPr>
          <w:rFonts w:ascii="Arial Narrow" w:hAnsi="Arial Narrow"/>
          <w:b/>
          <w:bCs/>
          <w:color w:val="E36C0A" w:themeColor="accent6" w:themeShade="BF"/>
        </w:rPr>
        <w:t>VANCOUVER</w:t>
      </w:r>
    </w:p>
    <w:p w14:paraId="76CEE369" w14:textId="0E7FE788" w:rsidR="00A50478" w:rsidRDefault="00DE4D4E" w:rsidP="00634115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Llegada al aeropuerto de Vancouver (YVR). Traslado al hotel. Resto del día libre y alojamiento.</w:t>
      </w:r>
    </w:p>
    <w:p w14:paraId="79F73571" w14:textId="58674628" w:rsidR="00A50478" w:rsidRPr="00EC6B78" w:rsidRDefault="00A50478" w:rsidP="00A50478">
      <w:pPr>
        <w:jc w:val="both"/>
        <w:rPr>
          <w:rFonts w:ascii="Arial Narrow" w:hAnsi="Arial Narrow"/>
          <w:bCs/>
        </w:rPr>
      </w:pPr>
    </w:p>
    <w:p w14:paraId="1BCA2B76" w14:textId="4B9FBC40" w:rsidR="00A50478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02</w:t>
      </w:r>
      <w:r w:rsidR="00581A6F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/ </w:t>
      </w:r>
      <w:r w:rsidR="00DE4D4E">
        <w:rPr>
          <w:rFonts w:ascii="Arial Narrow" w:hAnsi="Arial Narrow"/>
          <w:b/>
          <w:bCs/>
          <w:color w:val="E36C0A" w:themeColor="accent6" w:themeShade="BF"/>
        </w:rPr>
        <w:t xml:space="preserve">VANCOUVER – WHITEHORSE  </w:t>
      </w:r>
    </w:p>
    <w:p w14:paraId="35F207A3" w14:textId="0886982B" w:rsidR="00A50478" w:rsidRPr="00EC6B78" w:rsidRDefault="00DE4D4E" w:rsidP="00A50478">
      <w:pPr>
        <w:jc w:val="both"/>
        <w:rPr>
          <w:rFonts w:ascii="Arial Narrow" w:hAnsi="Arial Narrow"/>
          <w:bCs/>
        </w:rPr>
      </w:pPr>
      <w:r w:rsidRPr="00DE4D4E">
        <w:rPr>
          <w:rFonts w:ascii="Arial Narrow" w:hAnsi="Arial Narrow"/>
          <w:bCs/>
          <w:i/>
          <w:iCs/>
        </w:rPr>
        <w:t>Posibilidad de poder realizar la</w:t>
      </w:r>
      <w:r w:rsidRPr="00DE4D4E">
        <w:rPr>
          <w:rFonts w:ascii="Arial Narrow" w:hAnsi="Arial Narrow"/>
          <w:bCs/>
        </w:rPr>
        <w:t xml:space="preserve"> </w:t>
      </w:r>
      <w:r w:rsidRPr="00DE4D4E">
        <w:rPr>
          <w:rFonts w:ascii="Arial Narrow" w:hAnsi="Arial Narrow"/>
          <w:bCs/>
          <w:i/>
          <w:iCs/>
        </w:rPr>
        <w:t>visita opcional de la ciudad de Vancouver</w:t>
      </w:r>
      <w:r w:rsidRPr="00DE4D4E">
        <w:rPr>
          <w:rFonts w:ascii="Arial Narrow" w:hAnsi="Arial Narrow"/>
          <w:bCs/>
        </w:rPr>
        <w:t>. Seguimos camino al aeropuerto para tomar su vuelo hacia Whitehorse (vuelo</w:t>
      </w:r>
      <w:r>
        <w:rPr>
          <w:rFonts w:ascii="Arial Narrow" w:hAnsi="Arial Narrow"/>
          <w:bCs/>
        </w:rPr>
        <w:t xml:space="preserve"> a YXY con suplemento</w:t>
      </w:r>
      <w:r w:rsidRPr="00DE4D4E">
        <w:rPr>
          <w:rFonts w:ascii="Arial Narrow" w:hAnsi="Arial Narrow"/>
          <w:bCs/>
        </w:rPr>
        <w:t>). Recepción en el aeropuerto por un guía de habla hispana. Traslado a su hotel localizado en el corazón de la ciudad, cerca de las orillas del Río Yukón. Orientación del viaje con su guía. Resto del día libre</w:t>
      </w:r>
      <w:r>
        <w:rPr>
          <w:rFonts w:ascii="Arial Narrow" w:hAnsi="Arial Narrow"/>
          <w:bCs/>
        </w:rPr>
        <w:t xml:space="preserve">. </w:t>
      </w:r>
      <w:r w:rsidRPr="00DE4D4E">
        <w:rPr>
          <w:rFonts w:ascii="Arial Narrow" w:hAnsi="Arial Narrow"/>
          <w:bCs/>
        </w:rPr>
        <w:t>Por la noche saldrá, a buscar las impresionantes auroras boreales. Relájese en la comodidad de nuestro centro o bajo el cielo estrellado junto a una fogata en nuestra ubicación hecha a la medida. Alojamiento.</w:t>
      </w:r>
    </w:p>
    <w:p w14:paraId="63E8F665" w14:textId="6804EE4C" w:rsidR="009D78A9" w:rsidRDefault="009D78A9" w:rsidP="00A50478">
      <w:pPr>
        <w:jc w:val="both"/>
        <w:rPr>
          <w:rFonts w:ascii="Arial Narrow" w:hAnsi="Arial Narrow"/>
          <w:bCs/>
        </w:rPr>
      </w:pPr>
    </w:p>
    <w:p w14:paraId="439851C9" w14:textId="52B9132B" w:rsidR="00A50478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03</w:t>
      </w:r>
      <w:r w:rsidR="00973AA6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/ </w:t>
      </w:r>
      <w:r w:rsidR="00DE4D4E">
        <w:rPr>
          <w:rFonts w:ascii="Arial Narrow" w:hAnsi="Arial Narrow"/>
          <w:b/>
          <w:bCs/>
          <w:color w:val="E36C0A" w:themeColor="accent6" w:themeShade="BF"/>
        </w:rPr>
        <w:t xml:space="preserve">WHITEHORSE </w:t>
      </w:r>
      <w:r w:rsidR="00634115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2E6F40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973AA6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</w:p>
    <w:p w14:paraId="4D387A89" w14:textId="1DE49381" w:rsidR="00A50478" w:rsidRDefault="00DE4D4E" w:rsidP="00A50478">
      <w:pPr>
        <w:jc w:val="both"/>
        <w:rPr>
          <w:rFonts w:ascii="Arial Narrow" w:hAnsi="Arial Narrow"/>
          <w:bCs/>
        </w:rPr>
      </w:pPr>
      <w:r w:rsidRPr="00DE4D4E">
        <w:rPr>
          <w:rFonts w:ascii="Arial Narrow" w:hAnsi="Arial Narrow"/>
          <w:bCs/>
        </w:rPr>
        <w:t>Luego de descansar hasta tarde, lo pasaremos a buscar para tomar el Tour de la Ciudad de Whitehorse, la capital de Yukón</w:t>
      </w:r>
      <w:r>
        <w:rPr>
          <w:rFonts w:ascii="Arial Narrow" w:hAnsi="Arial Narrow"/>
          <w:bCs/>
        </w:rPr>
        <w:t>.</w:t>
      </w:r>
      <w:r w:rsidRPr="00DE4D4E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La ciudad of</w:t>
      </w:r>
      <w:r w:rsidRPr="00DE4D4E">
        <w:rPr>
          <w:rFonts w:ascii="Arial Narrow" w:hAnsi="Arial Narrow"/>
          <w:bCs/>
        </w:rPr>
        <w:t xml:space="preserve">rece un encantador adentramiento a la historia del Norte. En este tour iremos al </w:t>
      </w:r>
      <w:proofErr w:type="spellStart"/>
      <w:r w:rsidRPr="00DE4D4E">
        <w:rPr>
          <w:rFonts w:ascii="Arial Narrow" w:hAnsi="Arial Narrow"/>
          <w:bCs/>
        </w:rPr>
        <w:t>Visitor</w:t>
      </w:r>
      <w:proofErr w:type="spellEnd"/>
      <w:r w:rsidRPr="00DE4D4E">
        <w:rPr>
          <w:rFonts w:ascii="Arial Narrow" w:hAnsi="Arial Narrow"/>
          <w:bCs/>
        </w:rPr>
        <w:t xml:space="preserve"> Centre para aprender sobre las distintas regiones del territorio Yukón. Visitaremos también el SS </w:t>
      </w:r>
      <w:proofErr w:type="spellStart"/>
      <w:r w:rsidRPr="00DE4D4E">
        <w:rPr>
          <w:rFonts w:ascii="Arial Narrow" w:hAnsi="Arial Narrow"/>
          <w:bCs/>
        </w:rPr>
        <w:t>Klondike</w:t>
      </w:r>
      <w:proofErr w:type="spellEnd"/>
      <w:r w:rsidRPr="00DE4D4E">
        <w:rPr>
          <w:rFonts w:ascii="Arial Narrow" w:hAnsi="Arial Narrow"/>
          <w:bCs/>
        </w:rPr>
        <w:t xml:space="preserve">, un buque de paletas utilizado durante la fiebre del oro, </w:t>
      </w:r>
      <w:proofErr w:type="spellStart"/>
      <w:r w:rsidRPr="00DE4D4E">
        <w:rPr>
          <w:rFonts w:ascii="Arial Narrow" w:hAnsi="Arial Narrow"/>
          <w:bCs/>
        </w:rPr>
        <w:t>Fish</w:t>
      </w:r>
      <w:proofErr w:type="spellEnd"/>
      <w:r w:rsidRPr="00DE4D4E">
        <w:rPr>
          <w:rFonts w:ascii="Arial Narrow" w:hAnsi="Arial Narrow"/>
          <w:bCs/>
        </w:rPr>
        <w:t xml:space="preserve"> </w:t>
      </w:r>
      <w:proofErr w:type="spellStart"/>
      <w:r w:rsidRPr="00DE4D4E">
        <w:rPr>
          <w:rFonts w:ascii="Arial Narrow" w:hAnsi="Arial Narrow"/>
          <w:bCs/>
        </w:rPr>
        <w:t>Ladder</w:t>
      </w:r>
      <w:proofErr w:type="spellEnd"/>
      <w:r w:rsidRPr="00DE4D4E">
        <w:rPr>
          <w:rFonts w:ascii="Arial Narrow" w:hAnsi="Arial Narrow"/>
          <w:bCs/>
        </w:rPr>
        <w:t xml:space="preserve"> y Log </w:t>
      </w:r>
      <w:proofErr w:type="spellStart"/>
      <w:r w:rsidRPr="00DE4D4E">
        <w:rPr>
          <w:rFonts w:ascii="Arial Narrow" w:hAnsi="Arial Narrow"/>
          <w:bCs/>
        </w:rPr>
        <w:t>Skyscraper</w:t>
      </w:r>
      <w:proofErr w:type="spellEnd"/>
      <w:r w:rsidRPr="00DE4D4E">
        <w:rPr>
          <w:rFonts w:ascii="Arial Narrow" w:hAnsi="Arial Narrow"/>
          <w:bCs/>
        </w:rPr>
        <w:t xml:space="preserve">. </w:t>
      </w:r>
      <w:r w:rsidRPr="00DE4D4E">
        <w:rPr>
          <w:rFonts w:ascii="Arial Narrow" w:hAnsi="Arial Narrow"/>
          <w:bCs/>
          <w:i/>
          <w:iCs/>
        </w:rPr>
        <w:t xml:space="preserve">Visita opcional a </w:t>
      </w:r>
      <w:proofErr w:type="spellStart"/>
      <w:r w:rsidRPr="00DE4D4E">
        <w:rPr>
          <w:rFonts w:ascii="Arial Narrow" w:hAnsi="Arial Narrow"/>
          <w:bCs/>
          <w:i/>
          <w:iCs/>
        </w:rPr>
        <w:t>Wildlife</w:t>
      </w:r>
      <w:proofErr w:type="spellEnd"/>
      <w:r w:rsidRPr="00DE4D4E">
        <w:rPr>
          <w:rFonts w:ascii="Arial Narrow" w:hAnsi="Arial Narrow"/>
          <w:bCs/>
          <w:i/>
          <w:iCs/>
        </w:rPr>
        <w:t xml:space="preserve"> Preserve y aguas termales Eclipse </w:t>
      </w:r>
      <w:proofErr w:type="spellStart"/>
      <w:r w:rsidRPr="00DE4D4E">
        <w:rPr>
          <w:rFonts w:ascii="Arial Narrow" w:hAnsi="Arial Narrow"/>
          <w:bCs/>
          <w:i/>
          <w:iCs/>
        </w:rPr>
        <w:t>Nordic</w:t>
      </w:r>
      <w:proofErr w:type="spellEnd"/>
      <w:r w:rsidRPr="00DE4D4E">
        <w:rPr>
          <w:rFonts w:ascii="Arial Narrow" w:hAnsi="Arial Narrow"/>
          <w:bCs/>
        </w:rPr>
        <w:t xml:space="preserve"> (no menores de 16 años)</w:t>
      </w:r>
      <w:r>
        <w:rPr>
          <w:rFonts w:ascii="Arial Narrow" w:hAnsi="Arial Narrow"/>
          <w:bCs/>
        </w:rPr>
        <w:t xml:space="preserve"> </w:t>
      </w:r>
      <w:r w:rsidRPr="00DE4D4E">
        <w:rPr>
          <w:rFonts w:ascii="Arial Narrow" w:hAnsi="Arial Narrow"/>
          <w:bCs/>
        </w:rPr>
        <w:t xml:space="preserve">para ver de cerca muchos de los grandes mamíferos del Yukón como alces, ciervos, caribúes, ovejas </w:t>
      </w:r>
      <w:proofErr w:type="spellStart"/>
      <w:r w:rsidRPr="00DE4D4E">
        <w:rPr>
          <w:rFonts w:ascii="Arial Narrow" w:hAnsi="Arial Narrow"/>
          <w:bCs/>
        </w:rPr>
        <w:t>Dall</w:t>
      </w:r>
      <w:proofErr w:type="spellEnd"/>
      <w:r w:rsidRPr="00DE4D4E">
        <w:rPr>
          <w:rFonts w:ascii="Arial Narrow" w:hAnsi="Arial Narrow"/>
          <w:bCs/>
        </w:rPr>
        <w:t>, cabras montesas, bisontes e incluso el buey almizclero del Ártico, en su</w:t>
      </w:r>
      <w:r>
        <w:rPr>
          <w:rFonts w:ascii="Arial Narrow" w:hAnsi="Arial Narrow"/>
          <w:bCs/>
        </w:rPr>
        <w:t xml:space="preserve"> entorno </w:t>
      </w:r>
      <w:r w:rsidRPr="00DE4D4E">
        <w:rPr>
          <w:rFonts w:ascii="Arial Narrow" w:hAnsi="Arial Narrow"/>
          <w:bCs/>
        </w:rPr>
        <w:t xml:space="preserve">natural. No muy lejos de la reserva se encuentran las aguas termales Eclipse </w:t>
      </w:r>
      <w:proofErr w:type="spellStart"/>
      <w:r w:rsidRPr="00DE4D4E">
        <w:rPr>
          <w:rFonts w:ascii="Arial Narrow" w:hAnsi="Arial Narrow"/>
          <w:bCs/>
        </w:rPr>
        <w:t>Nordic</w:t>
      </w:r>
      <w:proofErr w:type="spellEnd"/>
      <w:r w:rsidRPr="00DE4D4E">
        <w:rPr>
          <w:rFonts w:ascii="Arial Narrow" w:hAnsi="Arial Narrow"/>
          <w:bCs/>
        </w:rPr>
        <w:t xml:space="preserve"> Hot Springs, donde puedes disfrutar de las aguas termales naturales y </w:t>
      </w:r>
      <w:r w:rsidR="0035409E" w:rsidRPr="00DE4D4E">
        <w:rPr>
          <w:rFonts w:ascii="Arial Narrow" w:hAnsi="Arial Narrow"/>
          <w:bCs/>
        </w:rPr>
        <w:t>relajarte</w:t>
      </w:r>
      <w:r w:rsidRPr="00DE4D4E">
        <w:rPr>
          <w:rFonts w:ascii="Arial Narrow" w:hAnsi="Arial Narrow"/>
          <w:bCs/>
        </w:rPr>
        <w:t xml:space="preserve"> en un impresionante entorno montañoso invernal. Por la noche saldremos a buscar las impresionantes auroras boreales. Relájese en la comodidad de nuestro centro o bajo el cielo estrellado junto a una rica fogata en nuestra ubicación hecha a la medida. Alojamiento</w:t>
      </w:r>
      <w:r>
        <w:rPr>
          <w:rFonts w:ascii="Arial Narrow" w:hAnsi="Arial Narrow"/>
          <w:bCs/>
        </w:rPr>
        <w:t>.</w:t>
      </w:r>
    </w:p>
    <w:p w14:paraId="0AC1C79E" w14:textId="3A7E9D1B" w:rsidR="00A50478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04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 / </w:t>
      </w:r>
      <w:r w:rsidR="0035409E">
        <w:rPr>
          <w:rFonts w:ascii="Arial Narrow" w:hAnsi="Arial Narrow"/>
          <w:b/>
          <w:bCs/>
          <w:color w:val="E36C0A" w:themeColor="accent6" w:themeShade="BF"/>
        </w:rPr>
        <w:t>WHITEHORSE</w:t>
      </w:r>
    </w:p>
    <w:p w14:paraId="726D9781" w14:textId="69570B61" w:rsidR="00D21264" w:rsidRDefault="0035409E" w:rsidP="00A50478">
      <w:pPr>
        <w:jc w:val="both"/>
        <w:rPr>
          <w:rFonts w:ascii="Arial Narrow" w:hAnsi="Arial Narrow"/>
          <w:bCs/>
        </w:rPr>
      </w:pPr>
      <w:r w:rsidRPr="0035409E">
        <w:rPr>
          <w:rFonts w:ascii="Arial Narrow" w:hAnsi="Arial Narrow"/>
          <w:bCs/>
        </w:rPr>
        <w:t xml:space="preserve">Día libre para tours y paseos opcionales. Pruebe andar en </w:t>
      </w:r>
      <w:proofErr w:type="gramStart"/>
      <w:r w:rsidRPr="0035409E">
        <w:rPr>
          <w:rFonts w:ascii="Arial Narrow" w:hAnsi="Arial Narrow"/>
          <w:bCs/>
        </w:rPr>
        <w:t>las moto</w:t>
      </w:r>
      <w:proofErr w:type="gramEnd"/>
      <w:r w:rsidRPr="0035409E">
        <w:rPr>
          <w:rFonts w:ascii="Arial Narrow" w:hAnsi="Arial Narrow"/>
          <w:bCs/>
        </w:rPr>
        <w:t xml:space="preserve"> nieves, hacer </w:t>
      </w:r>
      <w:proofErr w:type="spellStart"/>
      <w:r w:rsidRPr="0035409E">
        <w:rPr>
          <w:rFonts w:ascii="Arial Narrow" w:hAnsi="Arial Narrow"/>
          <w:bCs/>
        </w:rPr>
        <w:t>snowshoeing</w:t>
      </w:r>
      <w:proofErr w:type="spellEnd"/>
      <w:r w:rsidRPr="0035409E">
        <w:rPr>
          <w:rFonts w:ascii="Arial Narrow" w:hAnsi="Arial Narrow"/>
          <w:bCs/>
        </w:rPr>
        <w:t xml:space="preserve"> (raquetas de nieve) o pescar en hielo. </w:t>
      </w:r>
      <w:r w:rsidRPr="0035409E">
        <w:rPr>
          <w:rFonts w:ascii="Arial Narrow" w:hAnsi="Arial Narrow"/>
          <w:bCs/>
          <w:i/>
          <w:iCs/>
        </w:rPr>
        <w:t>Por la noche, posibilidad de contratar la visita de observación de auroras boreales (opcional). Relájese en la comodidad del centro de observación bajo el cielo estrellado junto a una fogata en nuestro exclusivo centro hecho a la medida</w:t>
      </w:r>
      <w:r w:rsidRPr="0035409E">
        <w:rPr>
          <w:rFonts w:ascii="Arial Narrow" w:hAnsi="Arial Narrow"/>
          <w:bCs/>
        </w:rPr>
        <w:t>. Alojamiento</w:t>
      </w:r>
    </w:p>
    <w:p w14:paraId="2D759277" w14:textId="77777777" w:rsidR="00D21264" w:rsidRDefault="00D21264" w:rsidP="00A50478">
      <w:pPr>
        <w:jc w:val="both"/>
        <w:rPr>
          <w:rFonts w:ascii="Arial Narrow" w:hAnsi="Arial Narrow"/>
          <w:bCs/>
        </w:rPr>
      </w:pPr>
    </w:p>
    <w:p w14:paraId="3F003277" w14:textId="0A6FB99D" w:rsidR="0035409E" w:rsidRDefault="00E92908" w:rsidP="0035409E">
      <w:pPr>
        <w:jc w:val="both"/>
        <w:rPr>
          <w:rFonts w:ascii="Arial Narrow" w:hAnsi="Arial Narrow"/>
          <w:bCs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05</w:t>
      </w:r>
      <w:r w:rsidR="002C3D0D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/ </w:t>
      </w:r>
      <w:r w:rsidR="0035409E">
        <w:rPr>
          <w:rFonts w:ascii="Arial Narrow" w:hAnsi="Arial Narrow"/>
          <w:b/>
          <w:bCs/>
          <w:color w:val="E36C0A" w:themeColor="accent6" w:themeShade="BF"/>
        </w:rPr>
        <w:t xml:space="preserve">WHITEHORSE – CIUDAD DE ORIGEN </w:t>
      </w:r>
    </w:p>
    <w:p w14:paraId="113912DE" w14:textId="5CDD41CB" w:rsidR="00A1734B" w:rsidRDefault="00A1734B" w:rsidP="00926313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A </w:t>
      </w:r>
      <w:r w:rsidR="009852F8">
        <w:rPr>
          <w:rFonts w:ascii="Arial Narrow" w:hAnsi="Arial Narrow"/>
          <w:bCs/>
        </w:rPr>
        <w:t>l</w:t>
      </w:r>
      <w:r>
        <w:rPr>
          <w:rFonts w:ascii="Arial Narrow" w:hAnsi="Arial Narrow"/>
          <w:bCs/>
        </w:rPr>
        <w:t>a</w:t>
      </w:r>
      <w:r w:rsidR="009852F8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hora acordada, traslado al aeropuerto</w:t>
      </w:r>
      <w:r w:rsidR="0035409E">
        <w:rPr>
          <w:rFonts w:ascii="Arial Narrow" w:hAnsi="Arial Narrow"/>
          <w:bCs/>
        </w:rPr>
        <w:t xml:space="preserve"> de Whitehorse</w:t>
      </w:r>
      <w:r>
        <w:rPr>
          <w:rFonts w:ascii="Arial Narrow" w:hAnsi="Arial Narrow"/>
          <w:bCs/>
        </w:rPr>
        <w:t xml:space="preserve"> para tomar su vuelo de regreso a casa.</w:t>
      </w:r>
    </w:p>
    <w:p w14:paraId="5584D143" w14:textId="77777777" w:rsidR="00AE502C" w:rsidRDefault="00AE502C" w:rsidP="009852F8">
      <w:pPr>
        <w:jc w:val="center"/>
        <w:rPr>
          <w:rFonts w:ascii="Arial Narrow" w:hAnsi="Arial Narrow"/>
          <w:b/>
          <w:bCs/>
          <w:color w:val="548DD4" w:themeColor="text2" w:themeTint="99"/>
        </w:rPr>
      </w:pPr>
    </w:p>
    <w:p w14:paraId="3266F059" w14:textId="0A5D1FB6" w:rsidR="00926313" w:rsidRDefault="00926313" w:rsidP="00AE502C">
      <w:pPr>
        <w:spacing w:line="360" w:lineRule="auto"/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FIN DE NUESTROS SERVICIOS</w:t>
      </w:r>
    </w:p>
    <w:p w14:paraId="26566752" w14:textId="77777777" w:rsidR="00984376" w:rsidRDefault="00984376" w:rsidP="00984376">
      <w:pPr>
        <w:spacing w:line="360" w:lineRule="auto"/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6A74A982" w14:textId="77777777" w:rsidR="00984376" w:rsidRDefault="00984376" w:rsidP="00984376">
      <w:pPr>
        <w:spacing w:line="360" w:lineRule="auto"/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11C6B8F6" w14:textId="77777777" w:rsidR="00984376" w:rsidRDefault="00984376" w:rsidP="00984376">
      <w:pPr>
        <w:spacing w:line="360" w:lineRule="auto"/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4A4799D2" w14:textId="77777777" w:rsidR="00984376" w:rsidRDefault="00984376" w:rsidP="00984376">
      <w:pPr>
        <w:spacing w:line="360" w:lineRule="auto"/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357FC986" w14:textId="01990356" w:rsidR="00984376" w:rsidRPr="00984376" w:rsidRDefault="00984376" w:rsidP="00984376">
      <w:p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  <w:color w:val="E36C0A" w:themeColor="accent6" w:themeShade="BF"/>
        </w:rPr>
        <w:lastRenderedPageBreak/>
        <w:t xml:space="preserve">Fechas de inicio previstas: </w:t>
      </w:r>
      <w:r w:rsidR="002713F9" w:rsidRPr="00984376">
        <w:rPr>
          <w:rFonts w:ascii="Arial Narrow" w:hAnsi="Arial Narrow"/>
          <w:bCs/>
        </w:rPr>
        <w:t xml:space="preserve">Diarias hasta el 12 de </w:t>
      </w:r>
      <w:r w:rsidRPr="00984376">
        <w:rPr>
          <w:rFonts w:ascii="Arial Narrow" w:hAnsi="Arial Narrow"/>
          <w:bCs/>
        </w:rPr>
        <w:t>abril</w:t>
      </w:r>
      <w:r>
        <w:rPr>
          <w:rFonts w:ascii="Arial Narrow" w:hAnsi="Arial Narrow"/>
          <w:bCs/>
        </w:rPr>
        <w:t xml:space="preserve"> de</w:t>
      </w:r>
      <w:r w:rsidR="002713F9" w:rsidRPr="00984376">
        <w:rPr>
          <w:rFonts w:ascii="Arial Narrow" w:hAnsi="Arial Narrow"/>
          <w:bCs/>
        </w:rPr>
        <w:t xml:space="preserve"> 2026</w:t>
      </w:r>
    </w:p>
    <w:p w14:paraId="6855175E" w14:textId="3D1FDDD2" w:rsidR="00E92908" w:rsidRPr="009852F8" w:rsidRDefault="00A50478" w:rsidP="009852F8">
      <w:pPr>
        <w:spacing w:line="276" w:lineRule="auto"/>
        <w:jc w:val="center"/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</w:pPr>
      <w:r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>PRECIO</w:t>
      </w:r>
      <w:r w:rsidR="00084749"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 xml:space="preserve"> (</w:t>
      </w:r>
      <w:r w:rsidR="0035409E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>CAD</w:t>
      </w:r>
      <w:r w:rsidR="00084749"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 xml:space="preserve">) </w:t>
      </w:r>
      <w:r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>POR PERSONA</w:t>
      </w:r>
      <w:r w:rsidR="005F1F31"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 xml:space="preserve"> </w:t>
      </w:r>
      <w:r w:rsidR="00E92908"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>DESDE:</w:t>
      </w:r>
    </w:p>
    <w:tbl>
      <w:tblPr>
        <w:tblStyle w:val="Tablaconcuadrcula"/>
        <w:tblW w:w="8737" w:type="dxa"/>
        <w:tblLook w:val="04A0" w:firstRow="1" w:lastRow="0" w:firstColumn="1" w:lastColumn="0" w:noHBand="0" w:noVBand="1"/>
      </w:tblPr>
      <w:tblGrid>
        <w:gridCol w:w="3581"/>
        <w:gridCol w:w="1289"/>
        <w:gridCol w:w="1289"/>
        <w:gridCol w:w="1289"/>
        <w:gridCol w:w="1289"/>
      </w:tblGrid>
      <w:tr w:rsidR="009852F8" w:rsidRPr="009852F8" w14:paraId="17F434C6" w14:textId="77777777" w:rsidTr="00984376">
        <w:tc>
          <w:tcPr>
            <w:tcW w:w="3581" w:type="dxa"/>
            <w:shd w:val="clear" w:color="auto" w:fill="E36C0A" w:themeFill="accent6" w:themeFillShade="BF"/>
          </w:tcPr>
          <w:p w14:paraId="5F5E9B0A" w14:textId="3F528F1B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9852F8">
              <w:rPr>
                <w:rFonts w:ascii="Arial Narrow" w:hAnsi="Arial Narrow"/>
                <w:b/>
                <w:bCs/>
                <w:color w:val="000000" w:themeColor="text1"/>
              </w:rPr>
              <w:t>TEMPORADA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14:paraId="4B6EB908" w14:textId="3332EA83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SINGLE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14:paraId="71BD3F0C" w14:textId="60655936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DOBLE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14:paraId="042892B8" w14:textId="4A29D766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TRIPLE</w:t>
            </w:r>
          </w:p>
        </w:tc>
        <w:tc>
          <w:tcPr>
            <w:tcW w:w="1289" w:type="dxa"/>
            <w:shd w:val="clear" w:color="auto" w:fill="E36C0A" w:themeFill="accent6" w:themeFillShade="BF"/>
          </w:tcPr>
          <w:p w14:paraId="23914AED" w14:textId="7BB6873F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CUAD</w:t>
            </w:r>
          </w:p>
        </w:tc>
      </w:tr>
      <w:tr w:rsidR="009852F8" w:rsidRPr="009852F8" w14:paraId="4B3C6FAB" w14:textId="77777777" w:rsidTr="00984376">
        <w:tc>
          <w:tcPr>
            <w:tcW w:w="3581" w:type="dxa"/>
          </w:tcPr>
          <w:p w14:paraId="0A805032" w14:textId="77777777" w:rsidR="0035409E" w:rsidRPr="0035409E" w:rsidRDefault="0035409E" w:rsidP="0035409E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35409E">
              <w:rPr>
                <w:rFonts w:ascii="Arial Narrow" w:hAnsi="Arial Narrow"/>
                <w:color w:val="000000" w:themeColor="text1"/>
              </w:rPr>
              <w:t xml:space="preserve">Nov 15-Dic 19 / </w:t>
            </w:r>
          </w:p>
          <w:p w14:paraId="0E995F22" w14:textId="14AA8E87" w:rsidR="009852F8" w:rsidRPr="009852F8" w:rsidRDefault="0035409E" w:rsidP="0035409E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35409E">
              <w:rPr>
                <w:rFonts w:ascii="Arial Narrow" w:hAnsi="Arial Narrow"/>
                <w:color w:val="000000" w:themeColor="text1"/>
              </w:rPr>
              <w:t xml:space="preserve">Ene </w:t>
            </w:r>
            <w:r>
              <w:rPr>
                <w:rFonts w:ascii="Arial Narrow" w:hAnsi="Arial Narrow"/>
                <w:color w:val="000000" w:themeColor="text1"/>
              </w:rPr>
              <w:t>0</w:t>
            </w:r>
            <w:r w:rsidRPr="0035409E">
              <w:rPr>
                <w:rFonts w:ascii="Arial Narrow" w:hAnsi="Arial Narrow"/>
                <w:color w:val="000000" w:themeColor="text1"/>
              </w:rPr>
              <w:t>2 - Abr 12</w:t>
            </w:r>
          </w:p>
        </w:tc>
        <w:tc>
          <w:tcPr>
            <w:tcW w:w="1289" w:type="dxa"/>
          </w:tcPr>
          <w:p w14:paraId="2CE34E9B" w14:textId="0E564F3F" w:rsidR="009852F8" w:rsidRPr="009852F8" w:rsidRDefault="0035409E" w:rsidP="0035409E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CAD</w:t>
            </w:r>
            <w:r w:rsidR="00197751">
              <w:rPr>
                <w:rFonts w:ascii="Arial Narrow" w:hAnsi="Arial Narrow"/>
                <w:color w:val="000000" w:themeColor="text1"/>
              </w:rPr>
              <w:t xml:space="preserve"> 2,355</w:t>
            </w:r>
          </w:p>
        </w:tc>
        <w:tc>
          <w:tcPr>
            <w:tcW w:w="1289" w:type="dxa"/>
          </w:tcPr>
          <w:p w14:paraId="274B4D14" w14:textId="245C37CA" w:rsidR="009852F8" w:rsidRPr="009852F8" w:rsidRDefault="00197751" w:rsidP="0035409E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CAD 1,580</w:t>
            </w:r>
          </w:p>
        </w:tc>
        <w:tc>
          <w:tcPr>
            <w:tcW w:w="1289" w:type="dxa"/>
          </w:tcPr>
          <w:p w14:paraId="0ED8B7A9" w14:textId="4EE6B32D" w:rsidR="009852F8" w:rsidRPr="009852F8" w:rsidRDefault="00197751" w:rsidP="0035409E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CAD 1,440</w:t>
            </w:r>
          </w:p>
        </w:tc>
        <w:tc>
          <w:tcPr>
            <w:tcW w:w="1289" w:type="dxa"/>
          </w:tcPr>
          <w:p w14:paraId="2B0A7522" w14:textId="468EA42D" w:rsidR="009852F8" w:rsidRPr="009852F8" w:rsidRDefault="00197751" w:rsidP="0035409E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CAD 1,345</w:t>
            </w:r>
          </w:p>
        </w:tc>
      </w:tr>
      <w:tr w:rsidR="009852F8" w:rsidRPr="009852F8" w14:paraId="6DF7D0C5" w14:textId="77777777" w:rsidTr="00984376">
        <w:tc>
          <w:tcPr>
            <w:tcW w:w="3581" w:type="dxa"/>
          </w:tcPr>
          <w:p w14:paraId="6894D68C" w14:textId="6E2A7B9A" w:rsidR="009852F8" w:rsidRPr="009852F8" w:rsidRDefault="0035409E" w:rsidP="0035409E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35409E">
              <w:rPr>
                <w:rFonts w:ascii="Arial Narrow" w:hAnsi="Arial Narrow"/>
                <w:color w:val="000000" w:themeColor="text1"/>
              </w:rPr>
              <w:t>Di</w:t>
            </w:r>
            <w:r>
              <w:rPr>
                <w:rFonts w:ascii="Arial Narrow" w:hAnsi="Arial Narrow"/>
                <w:color w:val="000000" w:themeColor="text1"/>
              </w:rPr>
              <w:t xml:space="preserve">c </w:t>
            </w:r>
            <w:r w:rsidRPr="0035409E">
              <w:rPr>
                <w:rFonts w:ascii="Arial Narrow" w:hAnsi="Arial Narrow"/>
                <w:color w:val="000000" w:themeColor="text1"/>
              </w:rPr>
              <w:t xml:space="preserve">20 </w:t>
            </w:r>
            <w:r>
              <w:rPr>
                <w:rFonts w:ascii="Arial Narrow" w:hAnsi="Arial Narrow"/>
                <w:color w:val="000000" w:themeColor="text1"/>
              </w:rPr>
              <w:t>–</w:t>
            </w:r>
            <w:r w:rsidRPr="0035409E">
              <w:rPr>
                <w:rFonts w:ascii="Arial Narrow" w:hAnsi="Arial Narrow"/>
                <w:color w:val="000000" w:themeColor="text1"/>
              </w:rPr>
              <w:t xml:space="preserve"> Ene</w:t>
            </w:r>
            <w:r>
              <w:rPr>
                <w:rFonts w:ascii="Arial Narrow" w:hAnsi="Arial Narrow"/>
                <w:color w:val="000000" w:themeColor="text1"/>
              </w:rPr>
              <w:t xml:space="preserve"> 01</w:t>
            </w:r>
          </w:p>
        </w:tc>
        <w:tc>
          <w:tcPr>
            <w:tcW w:w="1289" w:type="dxa"/>
          </w:tcPr>
          <w:p w14:paraId="30F7BA7D" w14:textId="7BF06541" w:rsidR="009852F8" w:rsidRPr="009852F8" w:rsidRDefault="00197751" w:rsidP="0035409E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CAD 2,495</w:t>
            </w:r>
          </w:p>
        </w:tc>
        <w:tc>
          <w:tcPr>
            <w:tcW w:w="1289" w:type="dxa"/>
          </w:tcPr>
          <w:p w14:paraId="2ABA0A07" w14:textId="2BA8C463" w:rsidR="009852F8" w:rsidRPr="009852F8" w:rsidRDefault="00197751" w:rsidP="0035409E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CAD 1,720</w:t>
            </w:r>
          </w:p>
        </w:tc>
        <w:tc>
          <w:tcPr>
            <w:tcW w:w="1289" w:type="dxa"/>
          </w:tcPr>
          <w:p w14:paraId="3E1F865C" w14:textId="2169FEBF" w:rsidR="009852F8" w:rsidRPr="009852F8" w:rsidRDefault="00197751" w:rsidP="0035409E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CAD 1,540</w:t>
            </w:r>
          </w:p>
        </w:tc>
        <w:tc>
          <w:tcPr>
            <w:tcW w:w="1289" w:type="dxa"/>
          </w:tcPr>
          <w:p w14:paraId="5A724CC4" w14:textId="4031A7E0" w:rsidR="009852F8" w:rsidRPr="009852F8" w:rsidRDefault="00197751" w:rsidP="0035409E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CAD 1,440</w:t>
            </w:r>
          </w:p>
        </w:tc>
      </w:tr>
    </w:tbl>
    <w:p w14:paraId="45639769" w14:textId="77777777" w:rsidR="009852F8" w:rsidRDefault="009852F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04C32658" w14:textId="49DAC283" w:rsidR="00A50478" w:rsidRPr="000663ED" w:rsidRDefault="00A5047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EL PRECIO INCLUYE:</w:t>
      </w:r>
    </w:p>
    <w:p w14:paraId="4758685E" w14:textId="62AACB74" w:rsidR="00056314" w:rsidRDefault="00197751" w:rsidP="00E16B13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Alojamiento en hoteles previstos o similares</w:t>
      </w:r>
    </w:p>
    <w:p w14:paraId="78B42C29" w14:textId="085919B1" w:rsidR="00197751" w:rsidRDefault="00197751" w:rsidP="00E16B13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Traslados y tours mencionados</w:t>
      </w:r>
    </w:p>
    <w:p w14:paraId="49917FB6" w14:textId="613CB8BB" w:rsidR="00197751" w:rsidRDefault="00197751" w:rsidP="00E16B13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Atracciones mencionadas</w:t>
      </w:r>
    </w:p>
    <w:p w14:paraId="01CF7402" w14:textId="187F2C75" w:rsidR="00197751" w:rsidRDefault="00197751" w:rsidP="00E16B13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 noches de tour de observación de Auroras con bebidas calientes y snacks</w:t>
      </w:r>
    </w:p>
    <w:p w14:paraId="698F7873" w14:textId="77152949" w:rsidR="00197751" w:rsidRPr="00056314" w:rsidRDefault="00197751" w:rsidP="00E16B13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Guía local en Yukón</w:t>
      </w:r>
    </w:p>
    <w:p w14:paraId="34F21420" w14:textId="77777777" w:rsidR="00056314" w:rsidRPr="000663ED" w:rsidRDefault="00056314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06D73C2A" w14:textId="1E9C1E03" w:rsidR="00A50478" w:rsidRPr="000663ED" w:rsidRDefault="00A5047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EL PRECIO NO INCLUYE:</w:t>
      </w:r>
    </w:p>
    <w:p w14:paraId="0A2BBF93" w14:textId="65514BD5" w:rsidR="00A50478" w:rsidRPr="00E16B13" w:rsidRDefault="00A50478" w:rsidP="00E16B13">
      <w:pPr>
        <w:pStyle w:val="Prrafodelista"/>
        <w:numPr>
          <w:ilvl w:val="0"/>
          <w:numId w:val="5"/>
        </w:numPr>
        <w:rPr>
          <w:rFonts w:ascii="Arial Narrow" w:hAnsi="Arial Narrow"/>
          <w:bCs/>
        </w:rPr>
      </w:pPr>
      <w:r w:rsidRPr="00E16B13">
        <w:rPr>
          <w:rFonts w:ascii="Arial Narrow" w:hAnsi="Arial Narrow"/>
          <w:bCs/>
        </w:rPr>
        <w:t>Propina para guía, chofer, etc</w:t>
      </w:r>
      <w:r w:rsidR="00B658F2" w:rsidRPr="00E16B13">
        <w:rPr>
          <w:rFonts w:ascii="Arial Narrow" w:hAnsi="Arial Narrow"/>
          <w:bCs/>
        </w:rPr>
        <w:t>. (voluntarias)</w:t>
      </w:r>
    </w:p>
    <w:p w14:paraId="662BE4C6" w14:textId="7C9EA58D" w:rsidR="00A50478" w:rsidRPr="00E16B13" w:rsidRDefault="00A50478" w:rsidP="00E16B13">
      <w:pPr>
        <w:pStyle w:val="Prrafodelista"/>
        <w:numPr>
          <w:ilvl w:val="0"/>
          <w:numId w:val="5"/>
        </w:numPr>
        <w:rPr>
          <w:rFonts w:ascii="Arial Narrow" w:hAnsi="Arial Narrow"/>
          <w:bCs/>
        </w:rPr>
      </w:pPr>
      <w:r w:rsidRPr="00E16B13">
        <w:rPr>
          <w:rFonts w:ascii="Arial Narrow" w:hAnsi="Arial Narrow"/>
          <w:bCs/>
        </w:rPr>
        <w:t>Gastos de índole personal</w:t>
      </w:r>
    </w:p>
    <w:p w14:paraId="3CF4630F" w14:textId="77777777" w:rsidR="00A50478" w:rsidRPr="00E16B13" w:rsidRDefault="00A50478" w:rsidP="00E16B13">
      <w:pPr>
        <w:pStyle w:val="Prrafodelista"/>
        <w:numPr>
          <w:ilvl w:val="0"/>
          <w:numId w:val="5"/>
        </w:numPr>
        <w:rPr>
          <w:rFonts w:ascii="Arial Narrow" w:hAnsi="Arial Narrow"/>
          <w:bCs/>
        </w:rPr>
      </w:pPr>
      <w:r w:rsidRPr="00E16B13">
        <w:rPr>
          <w:rFonts w:ascii="Arial Narrow" w:hAnsi="Arial Narrow"/>
          <w:bCs/>
        </w:rPr>
        <w:t>Excursiones y/o visitas opcionales</w:t>
      </w:r>
    </w:p>
    <w:p w14:paraId="06891C35" w14:textId="22CBF539" w:rsidR="00A50478" w:rsidRPr="00E16B13" w:rsidRDefault="00A50478" w:rsidP="00E16B13">
      <w:pPr>
        <w:pStyle w:val="Prrafodelista"/>
        <w:numPr>
          <w:ilvl w:val="0"/>
          <w:numId w:val="5"/>
        </w:numPr>
        <w:rPr>
          <w:rFonts w:ascii="Arial Narrow" w:hAnsi="Arial Narrow"/>
          <w:bCs/>
        </w:rPr>
      </w:pPr>
      <w:r w:rsidRPr="00E16B13">
        <w:rPr>
          <w:rFonts w:ascii="Arial Narrow" w:hAnsi="Arial Narrow"/>
          <w:bCs/>
        </w:rPr>
        <w:t xml:space="preserve">Vuelos </w:t>
      </w:r>
      <w:r w:rsidR="00B658F2" w:rsidRPr="00E16B13">
        <w:rPr>
          <w:rFonts w:ascii="Arial Narrow" w:hAnsi="Arial Narrow"/>
          <w:bCs/>
        </w:rPr>
        <w:t>de llegada y salida</w:t>
      </w:r>
    </w:p>
    <w:p w14:paraId="41213EE4" w14:textId="181DE101" w:rsidR="005C3390" w:rsidRPr="00E16B13" w:rsidRDefault="005C3390" w:rsidP="00E16B13">
      <w:pPr>
        <w:pStyle w:val="Prrafodelista"/>
        <w:numPr>
          <w:ilvl w:val="0"/>
          <w:numId w:val="5"/>
        </w:numPr>
        <w:rPr>
          <w:rFonts w:ascii="Arial Narrow" w:hAnsi="Arial Narrow"/>
          <w:bCs/>
        </w:rPr>
      </w:pPr>
      <w:r w:rsidRPr="00E16B13">
        <w:rPr>
          <w:rFonts w:ascii="Arial Narrow" w:hAnsi="Arial Narrow"/>
          <w:bCs/>
        </w:rPr>
        <w:t>Seguro de viaje (bajo petición)</w:t>
      </w:r>
    </w:p>
    <w:p w14:paraId="2A4ED31A" w14:textId="77777777" w:rsidR="00197751" w:rsidRPr="00E16B13" w:rsidRDefault="00197751" w:rsidP="00E16B13">
      <w:pPr>
        <w:pStyle w:val="Prrafodelista"/>
        <w:numPr>
          <w:ilvl w:val="0"/>
          <w:numId w:val="5"/>
        </w:numPr>
        <w:rPr>
          <w:rFonts w:ascii="Arial Narrow" w:hAnsi="Arial Narrow"/>
          <w:bCs/>
        </w:rPr>
      </w:pPr>
      <w:r w:rsidRPr="00E16B13">
        <w:rPr>
          <w:rFonts w:ascii="Arial Narrow" w:hAnsi="Arial Narrow"/>
          <w:bCs/>
        </w:rPr>
        <w:t>Vuelo Vancouver-Whitehorse-Vancouver</w:t>
      </w:r>
    </w:p>
    <w:p w14:paraId="3E804640" w14:textId="71314626" w:rsidR="00197751" w:rsidRPr="00E16B13" w:rsidRDefault="00197751" w:rsidP="00E16B13">
      <w:pPr>
        <w:pStyle w:val="Prrafodelista"/>
        <w:numPr>
          <w:ilvl w:val="0"/>
          <w:numId w:val="5"/>
        </w:numPr>
        <w:rPr>
          <w:rFonts w:ascii="Arial Narrow" w:hAnsi="Arial Narrow"/>
          <w:bCs/>
        </w:rPr>
      </w:pPr>
      <w:r w:rsidRPr="00E16B13">
        <w:rPr>
          <w:rFonts w:ascii="Arial Narrow" w:hAnsi="Arial Narrow"/>
          <w:bCs/>
        </w:rPr>
        <w:t>Renta de Ropa invernal (</w:t>
      </w:r>
      <w:r w:rsidR="00984376" w:rsidRPr="00E16B13">
        <w:rPr>
          <w:rFonts w:ascii="Arial Narrow" w:hAnsi="Arial Narrow"/>
          <w:bCs/>
        </w:rPr>
        <w:t xml:space="preserve">desde CAD 255 netos x PAX </w:t>
      </w:r>
      <w:r w:rsidRPr="00E16B13">
        <w:rPr>
          <w:rFonts w:ascii="Arial Narrow" w:hAnsi="Arial Narrow"/>
          <w:bCs/>
        </w:rPr>
        <w:t>para 4 días en Yukón)</w:t>
      </w:r>
    </w:p>
    <w:p w14:paraId="35587F80" w14:textId="699593AA" w:rsidR="005C3390" w:rsidRPr="00E16B13" w:rsidRDefault="005C3390" w:rsidP="00E16B13">
      <w:pPr>
        <w:pStyle w:val="Prrafodelista"/>
        <w:numPr>
          <w:ilvl w:val="0"/>
          <w:numId w:val="5"/>
        </w:numPr>
        <w:rPr>
          <w:rFonts w:ascii="Arial Narrow" w:hAnsi="Arial Narrow"/>
          <w:bCs/>
        </w:rPr>
      </w:pPr>
      <w:r w:rsidRPr="00E16B13">
        <w:rPr>
          <w:rFonts w:ascii="Arial Narrow" w:hAnsi="Arial Narrow"/>
          <w:bCs/>
        </w:rPr>
        <w:t>Visado o permisos necesarios para la entrada al país según la nacionalidad</w:t>
      </w:r>
    </w:p>
    <w:p w14:paraId="550BC3FE" w14:textId="77777777" w:rsidR="00A50478" w:rsidRPr="00E16B13" w:rsidRDefault="00A50478" w:rsidP="00E16B13">
      <w:pPr>
        <w:pStyle w:val="Prrafodelista"/>
        <w:numPr>
          <w:ilvl w:val="0"/>
          <w:numId w:val="5"/>
        </w:numPr>
        <w:rPr>
          <w:rFonts w:ascii="Arial Narrow" w:hAnsi="Arial Narrow"/>
          <w:bCs/>
        </w:rPr>
      </w:pPr>
      <w:r w:rsidRPr="00E16B13">
        <w:rPr>
          <w:rFonts w:ascii="Arial Narrow" w:hAnsi="Arial Narrow"/>
          <w:bCs/>
        </w:rPr>
        <w:t>Lo no especificado en el apartado del precio incluye</w:t>
      </w:r>
    </w:p>
    <w:p w14:paraId="6DE8A292" w14:textId="77777777" w:rsidR="00A50478" w:rsidRDefault="00A50478" w:rsidP="00A50478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561FE98E" w14:textId="7D0C5809" w:rsidR="00B449D2" w:rsidRPr="00B449D2" w:rsidRDefault="00B449D2" w:rsidP="00A50478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B449D2">
        <w:rPr>
          <w:rFonts w:ascii="Arial Narrow" w:hAnsi="Arial Narrow"/>
          <w:b/>
          <w:bCs/>
          <w:iCs/>
          <w:color w:val="E36C0A" w:themeColor="accent6" w:themeShade="BF"/>
          <w:lang w:eastAsia="ar-SA"/>
        </w:rPr>
        <w:t>HOTELES PREVISTOS O SIMILARES</w:t>
      </w:r>
      <w:r w:rsidR="00E16B13">
        <w:rPr>
          <w:rFonts w:ascii="Arial Narrow" w:hAnsi="Arial Narrow"/>
          <w:b/>
          <w:bCs/>
          <w:iCs/>
          <w:color w:val="E36C0A" w:themeColor="accent6" w:themeShade="BF"/>
          <w:lang w:eastAsia="ar-SA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052"/>
      </w:tblGrid>
      <w:tr w:rsidR="00197751" w:rsidRPr="00197751" w14:paraId="28D3F11B" w14:textId="77777777" w:rsidTr="00E16B13">
        <w:trPr>
          <w:jc w:val="center"/>
        </w:trPr>
        <w:tc>
          <w:tcPr>
            <w:tcW w:w="4248" w:type="dxa"/>
            <w:shd w:val="clear" w:color="auto" w:fill="E36C0A" w:themeFill="accent6" w:themeFillShade="BF"/>
          </w:tcPr>
          <w:p w14:paraId="56D7F457" w14:textId="53681392" w:rsidR="00197751" w:rsidRPr="00197751" w:rsidRDefault="00197751" w:rsidP="00BF3534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197751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4052" w:type="dxa"/>
            <w:shd w:val="clear" w:color="auto" w:fill="E36C0A" w:themeFill="accent6" w:themeFillShade="BF"/>
          </w:tcPr>
          <w:p w14:paraId="35C58E7D" w14:textId="5C63C3A7" w:rsidR="00197751" w:rsidRPr="00197751" w:rsidRDefault="00197751" w:rsidP="00BF3534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HOTEL</w:t>
            </w:r>
          </w:p>
        </w:tc>
      </w:tr>
      <w:tr w:rsidR="00197751" w:rsidRPr="00197751" w14:paraId="554EC119" w14:textId="77777777" w:rsidTr="00E16B13">
        <w:trPr>
          <w:jc w:val="center"/>
        </w:trPr>
        <w:tc>
          <w:tcPr>
            <w:tcW w:w="4248" w:type="dxa"/>
          </w:tcPr>
          <w:p w14:paraId="65D563F6" w14:textId="344D2DC3" w:rsidR="00197751" w:rsidRPr="00197751" w:rsidRDefault="00197751" w:rsidP="00BF353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VANCOUVER</w:t>
            </w:r>
          </w:p>
        </w:tc>
        <w:tc>
          <w:tcPr>
            <w:tcW w:w="4052" w:type="dxa"/>
          </w:tcPr>
          <w:p w14:paraId="4668B553" w14:textId="498053E3" w:rsidR="00197751" w:rsidRPr="00197751" w:rsidRDefault="00E16B13" w:rsidP="00BF3534">
            <w:pPr>
              <w:spacing w:line="276" w:lineRule="auto"/>
              <w:jc w:val="center"/>
              <w:rPr>
                <w:rFonts w:ascii="Arial Narrow" w:hAnsi="Arial Narrow"/>
              </w:rPr>
            </w:pPr>
            <w:hyperlink r:id="rId8" w:history="1">
              <w:r w:rsidR="00197751" w:rsidRPr="00E16B13">
                <w:rPr>
                  <w:rStyle w:val="Hipervnculo"/>
                  <w:rFonts w:ascii="Arial Narrow" w:hAnsi="Arial Narrow"/>
                </w:rPr>
                <w:t>Sheraton Wall Centre</w:t>
              </w:r>
            </w:hyperlink>
          </w:p>
        </w:tc>
      </w:tr>
      <w:tr w:rsidR="00197751" w:rsidRPr="00197751" w14:paraId="03D36A19" w14:textId="77777777" w:rsidTr="00E16B13">
        <w:trPr>
          <w:jc w:val="center"/>
        </w:trPr>
        <w:tc>
          <w:tcPr>
            <w:tcW w:w="4248" w:type="dxa"/>
          </w:tcPr>
          <w:p w14:paraId="4952CDE6" w14:textId="1A76473F" w:rsidR="00197751" w:rsidRPr="00197751" w:rsidRDefault="00197751" w:rsidP="00BF353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WHITEHORSE</w:t>
            </w:r>
          </w:p>
        </w:tc>
        <w:tc>
          <w:tcPr>
            <w:tcW w:w="4052" w:type="dxa"/>
          </w:tcPr>
          <w:p w14:paraId="08B1C707" w14:textId="63F18A77" w:rsidR="00197751" w:rsidRPr="00197751" w:rsidRDefault="00E16B13" w:rsidP="00BF3534">
            <w:pPr>
              <w:spacing w:line="276" w:lineRule="auto"/>
              <w:jc w:val="center"/>
              <w:rPr>
                <w:rFonts w:ascii="Arial Narrow" w:hAnsi="Arial Narrow"/>
              </w:rPr>
            </w:pPr>
            <w:hyperlink r:id="rId9" w:history="1">
              <w:proofErr w:type="spellStart"/>
              <w:r w:rsidR="00197751" w:rsidRPr="00E16B13">
                <w:rPr>
                  <w:rStyle w:val="Hipervnculo"/>
                  <w:rFonts w:ascii="Arial Narrow" w:hAnsi="Arial Narrow"/>
                </w:rPr>
                <w:t>Sternwheeler</w:t>
              </w:r>
              <w:proofErr w:type="spellEnd"/>
            </w:hyperlink>
          </w:p>
        </w:tc>
      </w:tr>
    </w:tbl>
    <w:p w14:paraId="4F02208B" w14:textId="77777777" w:rsidR="00BF3534" w:rsidRDefault="00BF3534" w:rsidP="00BF3534">
      <w:pPr>
        <w:jc w:val="center"/>
        <w:rPr>
          <w:rFonts w:ascii="Lora Medium" w:hAnsi="Lora Medium"/>
          <w:b/>
          <w:bCs/>
          <w:iCs/>
          <w:color w:val="E36C0A" w:themeColor="accent6" w:themeShade="BF"/>
          <w:lang w:eastAsia="ar-SA"/>
        </w:rPr>
      </w:pPr>
    </w:p>
    <w:p w14:paraId="22449453" w14:textId="686D9536" w:rsidR="00392989" w:rsidRPr="00056314" w:rsidRDefault="00F33A3C" w:rsidP="00BF3534">
      <w:pPr>
        <w:jc w:val="center"/>
        <w:rPr>
          <w:rFonts w:ascii="Lora Medium" w:hAnsi="Lora Medium"/>
          <w:b/>
          <w:bCs/>
          <w:iCs/>
          <w:color w:val="E36C0A" w:themeColor="accent6" w:themeShade="BF"/>
          <w:lang w:eastAsia="ar-SA"/>
        </w:rPr>
      </w:pPr>
      <w:r w:rsidRPr="00056314">
        <w:rPr>
          <w:rFonts w:ascii="Lora Medium" w:hAnsi="Lora Medium"/>
          <w:b/>
          <w:bCs/>
          <w:iCs/>
          <w:color w:val="E36C0A" w:themeColor="accent6" w:themeShade="BF"/>
          <w:lang w:eastAsia="ar-SA"/>
        </w:rPr>
        <w:t>PRECIOS Y DISPONIBILIDAD SUJETOS A CAMBIO HASTA EL MOMENTO DE LA</w:t>
      </w:r>
      <w:r w:rsidR="00A150DB" w:rsidRPr="00056314">
        <w:rPr>
          <w:rFonts w:ascii="Lora Medium" w:hAnsi="Lora Medium"/>
          <w:b/>
          <w:bCs/>
          <w:iCs/>
          <w:color w:val="E36C0A" w:themeColor="accent6" w:themeShade="BF"/>
          <w:lang w:eastAsia="ar-SA"/>
        </w:rPr>
        <w:t xml:space="preserve"> CONFIRMACION DE LOS SERVICI</w:t>
      </w:r>
      <w:bookmarkStart w:id="0" w:name="_GoBack"/>
      <w:bookmarkEnd w:id="0"/>
      <w:r w:rsidR="00A150DB" w:rsidRPr="00056314">
        <w:rPr>
          <w:rFonts w:ascii="Lora Medium" w:hAnsi="Lora Medium"/>
          <w:b/>
          <w:bCs/>
          <w:iCs/>
          <w:color w:val="E36C0A" w:themeColor="accent6" w:themeShade="BF"/>
          <w:lang w:eastAsia="ar-SA"/>
        </w:rPr>
        <w:t>OS</w:t>
      </w:r>
    </w:p>
    <w:sectPr w:rsidR="00392989" w:rsidRPr="00056314" w:rsidSect="00B20F82">
      <w:headerReference w:type="default" r:id="rId10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B9DB6" w14:textId="77777777" w:rsidR="00B27F58" w:rsidRDefault="00B27F58" w:rsidP="00D4640C">
      <w:r>
        <w:separator/>
      </w:r>
    </w:p>
  </w:endnote>
  <w:endnote w:type="continuationSeparator" w:id="0">
    <w:p w14:paraId="016C82B6" w14:textId="77777777" w:rsidR="00B27F58" w:rsidRDefault="00B27F58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Lora Medium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788A" w14:textId="77777777" w:rsidR="00B27F58" w:rsidRDefault="00B27F58" w:rsidP="00D4640C">
      <w:r>
        <w:separator/>
      </w:r>
    </w:p>
  </w:footnote>
  <w:footnote w:type="continuationSeparator" w:id="0">
    <w:p w14:paraId="305E919E" w14:textId="77777777" w:rsidR="00B27F58" w:rsidRDefault="00B27F58" w:rsidP="00D4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21614" w14:textId="6F8E14F8" w:rsidR="00B20F82" w:rsidRDefault="00B20F82">
    <w:pPr>
      <w:pStyle w:val="Encabezado"/>
      <w:rPr>
        <w:noProof/>
      </w:rPr>
    </w:pPr>
  </w:p>
  <w:p w14:paraId="5859CC31" w14:textId="267BB26C" w:rsidR="00B20F82" w:rsidRDefault="00B20F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6218"/>
    <w:multiLevelType w:val="hybridMultilevel"/>
    <w:tmpl w:val="0F78C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22BB0"/>
    <w:multiLevelType w:val="hybridMultilevel"/>
    <w:tmpl w:val="513E2C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727D9"/>
    <w:multiLevelType w:val="hybridMultilevel"/>
    <w:tmpl w:val="BCAA503C"/>
    <w:lvl w:ilvl="0" w:tplc="DB6C7D44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3E1A94"/>
    <w:multiLevelType w:val="hybridMultilevel"/>
    <w:tmpl w:val="A5485A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72ABD"/>
    <w:multiLevelType w:val="hybridMultilevel"/>
    <w:tmpl w:val="BA9811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75B8"/>
    <w:rsid w:val="00036783"/>
    <w:rsid w:val="0004149B"/>
    <w:rsid w:val="00050C57"/>
    <w:rsid w:val="00056314"/>
    <w:rsid w:val="00063F9F"/>
    <w:rsid w:val="000663ED"/>
    <w:rsid w:val="00066EC1"/>
    <w:rsid w:val="0007170E"/>
    <w:rsid w:val="00084749"/>
    <w:rsid w:val="00091E64"/>
    <w:rsid w:val="00093416"/>
    <w:rsid w:val="00096B0A"/>
    <w:rsid w:val="000A0A09"/>
    <w:rsid w:val="000A3EB6"/>
    <w:rsid w:val="000A52CC"/>
    <w:rsid w:val="000B300F"/>
    <w:rsid w:val="000B69BE"/>
    <w:rsid w:val="000C25EB"/>
    <w:rsid w:val="000C2F26"/>
    <w:rsid w:val="000D6153"/>
    <w:rsid w:val="000E645A"/>
    <w:rsid w:val="000E7FE9"/>
    <w:rsid w:val="000F4663"/>
    <w:rsid w:val="00105D79"/>
    <w:rsid w:val="001061A8"/>
    <w:rsid w:val="001144B6"/>
    <w:rsid w:val="00131CF1"/>
    <w:rsid w:val="00152ADC"/>
    <w:rsid w:val="00152DB2"/>
    <w:rsid w:val="00163E06"/>
    <w:rsid w:val="00173953"/>
    <w:rsid w:val="0017395B"/>
    <w:rsid w:val="00180DA3"/>
    <w:rsid w:val="001869E3"/>
    <w:rsid w:val="00193930"/>
    <w:rsid w:val="00193DFF"/>
    <w:rsid w:val="00196219"/>
    <w:rsid w:val="00197751"/>
    <w:rsid w:val="001A47DF"/>
    <w:rsid w:val="001B0A40"/>
    <w:rsid w:val="001D0AF3"/>
    <w:rsid w:val="001D3505"/>
    <w:rsid w:val="001D3D5D"/>
    <w:rsid w:val="001D4090"/>
    <w:rsid w:val="001D64D6"/>
    <w:rsid w:val="001D69ED"/>
    <w:rsid w:val="001D6B03"/>
    <w:rsid w:val="001D77CF"/>
    <w:rsid w:val="00207C1C"/>
    <w:rsid w:val="0022313F"/>
    <w:rsid w:val="002272A6"/>
    <w:rsid w:val="00230F04"/>
    <w:rsid w:val="00231F59"/>
    <w:rsid w:val="002416BF"/>
    <w:rsid w:val="00243B3F"/>
    <w:rsid w:val="00255E0F"/>
    <w:rsid w:val="00256491"/>
    <w:rsid w:val="00267B9F"/>
    <w:rsid w:val="002713F9"/>
    <w:rsid w:val="00280F82"/>
    <w:rsid w:val="0028536C"/>
    <w:rsid w:val="0028789D"/>
    <w:rsid w:val="002878AB"/>
    <w:rsid w:val="00290E82"/>
    <w:rsid w:val="002A366A"/>
    <w:rsid w:val="002B1302"/>
    <w:rsid w:val="002C0938"/>
    <w:rsid w:val="002C3D0D"/>
    <w:rsid w:val="002C45ED"/>
    <w:rsid w:val="002D0C2F"/>
    <w:rsid w:val="002E6F40"/>
    <w:rsid w:val="002F000D"/>
    <w:rsid w:val="002F08C4"/>
    <w:rsid w:val="002F0F7E"/>
    <w:rsid w:val="002F3C1D"/>
    <w:rsid w:val="003021B2"/>
    <w:rsid w:val="00316EE5"/>
    <w:rsid w:val="0034215E"/>
    <w:rsid w:val="0035409E"/>
    <w:rsid w:val="00355137"/>
    <w:rsid w:val="0037028C"/>
    <w:rsid w:val="00373865"/>
    <w:rsid w:val="003762F0"/>
    <w:rsid w:val="0038610A"/>
    <w:rsid w:val="003917EF"/>
    <w:rsid w:val="00392989"/>
    <w:rsid w:val="003A77B5"/>
    <w:rsid w:val="003B000C"/>
    <w:rsid w:val="003B585B"/>
    <w:rsid w:val="003B6360"/>
    <w:rsid w:val="003B6A24"/>
    <w:rsid w:val="003C4930"/>
    <w:rsid w:val="003D57C0"/>
    <w:rsid w:val="003E00AF"/>
    <w:rsid w:val="003E510A"/>
    <w:rsid w:val="003F31B5"/>
    <w:rsid w:val="003F5378"/>
    <w:rsid w:val="004211D6"/>
    <w:rsid w:val="00422967"/>
    <w:rsid w:val="00433669"/>
    <w:rsid w:val="0043780A"/>
    <w:rsid w:val="00441B4B"/>
    <w:rsid w:val="00442A30"/>
    <w:rsid w:val="00447D08"/>
    <w:rsid w:val="0045249B"/>
    <w:rsid w:val="004528E5"/>
    <w:rsid w:val="00456D4F"/>
    <w:rsid w:val="00457D6B"/>
    <w:rsid w:val="004716E8"/>
    <w:rsid w:val="004853D8"/>
    <w:rsid w:val="0048540F"/>
    <w:rsid w:val="00485584"/>
    <w:rsid w:val="00491624"/>
    <w:rsid w:val="004B1473"/>
    <w:rsid w:val="004B2944"/>
    <w:rsid w:val="004B379E"/>
    <w:rsid w:val="004B3DB4"/>
    <w:rsid w:val="004B46AD"/>
    <w:rsid w:val="004B4FA8"/>
    <w:rsid w:val="004B79EA"/>
    <w:rsid w:val="004C66D2"/>
    <w:rsid w:val="004D03AC"/>
    <w:rsid w:val="004D43DD"/>
    <w:rsid w:val="004D67DC"/>
    <w:rsid w:val="004E081D"/>
    <w:rsid w:val="004E6042"/>
    <w:rsid w:val="004F69AB"/>
    <w:rsid w:val="00514D54"/>
    <w:rsid w:val="00515F76"/>
    <w:rsid w:val="0052158D"/>
    <w:rsid w:val="00521886"/>
    <w:rsid w:val="005226DB"/>
    <w:rsid w:val="00524F38"/>
    <w:rsid w:val="00533FE7"/>
    <w:rsid w:val="0053717B"/>
    <w:rsid w:val="005408D3"/>
    <w:rsid w:val="00540C54"/>
    <w:rsid w:val="0055330F"/>
    <w:rsid w:val="00560C01"/>
    <w:rsid w:val="00576F6B"/>
    <w:rsid w:val="0057776B"/>
    <w:rsid w:val="005803B1"/>
    <w:rsid w:val="005816EB"/>
    <w:rsid w:val="00581A6F"/>
    <w:rsid w:val="00585093"/>
    <w:rsid w:val="00585246"/>
    <w:rsid w:val="00595555"/>
    <w:rsid w:val="005A33B1"/>
    <w:rsid w:val="005A64F0"/>
    <w:rsid w:val="005C3390"/>
    <w:rsid w:val="005C5600"/>
    <w:rsid w:val="005C754D"/>
    <w:rsid w:val="005D0AED"/>
    <w:rsid w:val="005D1775"/>
    <w:rsid w:val="005D7A3C"/>
    <w:rsid w:val="005E4356"/>
    <w:rsid w:val="005E47FF"/>
    <w:rsid w:val="005E6234"/>
    <w:rsid w:val="005F1F31"/>
    <w:rsid w:val="00600831"/>
    <w:rsid w:val="00607692"/>
    <w:rsid w:val="0061525D"/>
    <w:rsid w:val="00616840"/>
    <w:rsid w:val="00616ACF"/>
    <w:rsid w:val="0062560F"/>
    <w:rsid w:val="00630741"/>
    <w:rsid w:val="00634115"/>
    <w:rsid w:val="006345A3"/>
    <w:rsid w:val="00655BCC"/>
    <w:rsid w:val="00657D6C"/>
    <w:rsid w:val="00667125"/>
    <w:rsid w:val="00667191"/>
    <w:rsid w:val="00682558"/>
    <w:rsid w:val="00685649"/>
    <w:rsid w:val="00690372"/>
    <w:rsid w:val="0069574B"/>
    <w:rsid w:val="00696B57"/>
    <w:rsid w:val="006A4E94"/>
    <w:rsid w:val="006B5753"/>
    <w:rsid w:val="006C2A1B"/>
    <w:rsid w:val="006C6423"/>
    <w:rsid w:val="006C72E6"/>
    <w:rsid w:val="006D1435"/>
    <w:rsid w:val="006D219B"/>
    <w:rsid w:val="006D5C90"/>
    <w:rsid w:val="006E450C"/>
    <w:rsid w:val="006E4A71"/>
    <w:rsid w:val="006E587F"/>
    <w:rsid w:val="006E72FF"/>
    <w:rsid w:val="006F0167"/>
    <w:rsid w:val="007035F8"/>
    <w:rsid w:val="0071097A"/>
    <w:rsid w:val="007221DC"/>
    <w:rsid w:val="0072276F"/>
    <w:rsid w:val="00723633"/>
    <w:rsid w:val="0072730B"/>
    <w:rsid w:val="0073402C"/>
    <w:rsid w:val="00741F01"/>
    <w:rsid w:val="00742870"/>
    <w:rsid w:val="007501C3"/>
    <w:rsid w:val="007564E0"/>
    <w:rsid w:val="00770DCE"/>
    <w:rsid w:val="00781114"/>
    <w:rsid w:val="00785CD3"/>
    <w:rsid w:val="007912C8"/>
    <w:rsid w:val="0079430F"/>
    <w:rsid w:val="00796EDE"/>
    <w:rsid w:val="007A313A"/>
    <w:rsid w:val="007A5B37"/>
    <w:rsid w:val="007A660F"/>
    <w:rsid w:val="007B2D9F"/>
    <w:rsid w:val="007C13A0"/>
    <w:rsid w:val="007C5CCF"/>
    <w:rsid w:val="007D0ED4"/>
    <w:rsid w:val="007E785E"/>
    <w:rsid w:val="007F392A"/>
    <w:rsid w:val="008024D6"/>
    <w:rsid w:val="00806B23"/>
    <w:rsid w:val="00807310"/>
    <w:rsid w:val="00814347"/>
    <w:rsid w:val="008304BE"/>
    <w:rsid w:val="00834B74"/>
    <w:rsid w:val="008409C2"/>
    <w:rsid w:val="00842037"/>
    <w:rsid w:val="00862BD0"/>
    <w:rsid w:val="00863789"/>
    <w:rsid w:val="00886BFE"/>
    <w:rsid w:val="0089508B"/>
    <w:rsid w:val="008976AE"/>
    <w:rsid w:val="0089774D"/>
    <w:rsid w:val="008A16BA"/>
    <w:rsid w:val="008A2310"/>
    <w:rsid w:val="008A3E40"/>
    <w:rsid w:val="008B5C6A"/>
    <w:rsid w:val="008C3E94"/>
    <w:rsid w:val="008C5806"/>
    <w:rsid w:val="008C6313"/>
    <w:rsid w:val="008D137F"/>
    <w:rsid w:val="008D3D03"/>
    <w:rsid w:val="008E1102"/>
    <w:rsid w:val="008E1466"/>
    <w:rsid w:val="008E16F2"/>
    <w:rsid w:val="008F0628"/>
    <w:rsid w:val="008F2347"/>
    <w:rsid w:val="00911437"/>
    <w:rsid w:val="00926289"/>
    <w:rsid w:val="00926313"/>
    <w:rsid w:val="0093541E"/>
    <w:rsid w:val="00936AE3"/>
    <w:rsid w:val="00940484"/>
    <w:rsid w:val="0096573A"/>
    <w:rsid w:val="009664C2"/>
    <w:rsid w:val="00971C2E"/>
    <w:rsid w:val="009727F4"/>
    <w:rsid w:val="00973AA6"/>
    <w:rsid w:val="00980631"/>
    <w:rsid w:val="00984376"/>
    <w:rsid w:val="009852F8"/>
    <w:rsid w:val="009936B9"/>
    <w:rsid w:val="009B7F3E"/>
    <w:rsid w:val="009D0A3F"/>
    <w:rsid w:val="009D78A9"/>
    <w:rsid w:val="009E3537"/>
    <w:rsid w:val="009F1F76"/>
    <w:rsid w:val="009F2FA0"/>
    <w:rsid w:val="009F325D"/>
    <w:rsid w:val="009F3C1A"/>
    <w:rsid w:val="009F61C3"/>
    <w:rsid w:val="00A10FF0"/>
    <w:rsid w:val="00A13003"/>
    <w:rsid w:val="00A150DB"/>
    <w:rsid w:val="00A1695E"/>
    <w:rsid w:val="00A1734B"/>
    <w:rsid w:val="00A315DE"/>
    <w:rsid w:val="00A43E89"/>
    <w:rsid w:val="00A465F0"/>
    <w:rsid w:val="00A50478"/>
    <w:rsid w:val="00A52659"/>
    <w:rsid w:val="00A54EC7"/>
    <w:rsid w:val="00A57093"/>
    <w:rsid w:val="00A63AD7"/>
    <w:rsid w:val="00A70DC6"/>
    <w:rsid w:val="00A74F78"/>
    <w:rsid w:val="00A90842"/>
    <w:rsid w:val="00A95320"/>
    <w:rsid w:val="00AA4181"/>
    <w:rsid w:val="00AC4660"/>
    <w:rsid w:val="00AD2E96"/>
    <w:rsid w:val="00AD60B8"/>
    <w:rsid w:val="00AE0173"/>
    <w:rsid w:val="00AE2ED9"/>
    <w:rsid w:val="00AE502C"/>
    <w:rsid w:val="00AE6229"/>
    <w:rsid w:val="00AF00AD"/>
    <w:rsid w:val="00AF0986"/>
    <w:rsid w:val="00AF13F4"/>
    <w:rsid w:val="00B0143C"/>
    <w:rsid w:val="00B05854"/>
    <w:rsid w:val="00B10C72"/>
    <w:rsid w:val="00B1226D"/>
    <w:rsid w:val="00B14AB1"/>
    <w:rsid w:val="00B17822"/>
    <w:rsid w:val="00B20F82"/>
    <w:rsid w:val="00B22B16"/>
    <w:rsid w:val="00B27F58"/>
    <w:rsid w:val="00B35B6B"/>
    <w:rsid w:val="00B36EA0"/>
    <w:rsid w:val="00B42823"/>
    <w:rsid w:val="00B449D2"/>
    <w:rsid w:val="00B46E4E"/>
    <w:rsid w:val="00B53372"/>
    <w:rsid w:val="00B54509"/>
    <w:rsid w:val="00B60971"/>
    <w:rsid w:val="00B612AB"/>
    <w:rsid w:val="00B63AD5"/>
    <w:rsid w:val="00B658F2"/>
    <w:rsid w:val="00B733CE"/>
    <w:rsid w:val="00B85F8E"/>
    <w:rsid w:val="00B924D2"/>
    <w:rsid w:val="00B94EDD"/>
    <w:rsid w:val="00B96F77"/>
    <w:rsid w:val="00BA2C8C"/>
    <w:rsid w:val="00BA78C2"/>
    <w:rsid w:val="00BA7E57"/>
    <w:rsid w:val="00BB4BD7"/>
    <w:rsid w:val="00BC57BC"/>
    <w:rsid w:val="00BD1BA5"/>
    <w:rsid w:val="00BD3870"/>
    <w:rsid w:val="00BD460D"/>
    <w:rsid w:val="00BD4674"/>
    <w:rsid w:val="00BE08CE"/>
    <w:rsid w:val="00BF3289"/>
    <w:rsid w:val="00BF3534"/>
    <w:rsid w:val="00BF6BCB"/>
    <w:rsid w:val="00C244D3"/>
    <w:rsid w:val="00C30F3B"/>
    <w:rsid w:val="00C5056F"/>
    <w:rsid w:val="00C5619F"/>
    <w:rsid w:val="00C565FA"/>
    <w:rsid w:val="00C577DA"/>
    <w:rsid w:val="00C70376"/>
    <w:rsid w:val="00C75267"/>
    <w:rsid w:val="00C7640B"/>
    <w:rsid w:val="00C86789"/>
    <w:rsid w:val="00C91BAC"/>
    <w:rsid w:val="00C91E43"/>
    <w:rsid w:val="00CA560D"/>
    <w:rsid w:val="00CB6176"/>
    <w:rsid w:val="00CB74ED"/>
    <w:rsid w:val="00CC3999"/>
    <w:rsid w:val="00CC4ABB"/>
    <w:rsid w:val="00CC52F8"/>
    <w:rsid w:val="00CC7A54"/>
    <w:rsid w:val="00CD0E60"/>
    <w:rsid w:val="00CD7976"/>
    <w:rsid w:val="00CE774C"/>
    <w:rsid w:val="00CF65F5"/>
    <w:rsid w:val="00D07B90"/>
    <w:rsid w:val="00D1190C"/>
    <w:rsid w:val="00D14448"/>
    <w:rsid w:val="00D152F8"/>
    <w:rsid w:val="00D15733"/>
    <w:rsid w:val="00D21264"/>
    <w:rsid w:val="00D373AE"/>
    <w:rsid w:val="00D43C99"/>
    <w:rsid w:val="00D43DE6"/>
    <w:rsid w:val="00D4640C"/>
    <w:rsid w:val="00D527DB"/>
    <w:rsid w:val="00D528EB"/>
    <w:rsid w:val="00D57704"/>
    <w:rsid w:val="00D647FC"/>
    <w:rsid w:val="00D64D37"/>
    <w:rsid w:val="00D705CE"/>
    <w:rsid w:val="00D777D9"/>
    <w:rsid w:val="00D81EE1"/>
    <w:rsid w:val="00D8493D"/>
    <w:rsid w:val="00D87DFB"/>
    <w:rsid w:val="00D950FD"/>
    <w:rsid w:val="00D972E3"/>
    <w:rsid w:val="00D97FFC"/>
    <w:rsid w:val="00DA0063"/>
    <w:rsid w:val="00DA07C4"/>
    <w:rsid w:val="00DA189E"/>
    <w:rsid w:val="00DA58CF"/>
    <w:rsid w:val="00DB4213"/>
    <w:rsid w:val="00DD09D7"/>
    <w:rsid w:val="00DD3593"/>
    <w:rsid w:val="00DE29CA"/>
    <w:rsid w:val="00DE363D"/>
    <w:rsid w:val="00DE4D4E"/>
    <w:rsid w:val="00E0147B"/>
    <w:rsid w:val="00E027D7"/>
    <w:rsid w:val="00E03341"/>
    <w:rsid w:val="00E040AE"/>
    <w:rsid w:val="00E045D2"/>
    <w:rsid w:val="00E10370"/>
    <w:rsid w:val="00E12B6B"/>
    <w:rsid w:val="00E16B13"/>
    <w:rsid w:val="00E1712E"/>
    <w:rsid w:val="00E21091"/>
    <w:rsid w:val="00E36531"/>
    <w:rsid w:val="00E45674"/>
    <w:rsid w:val="00E61A8B"/>
    <w:rsid w:val="00E635BE"/>
    <w:rsid w:val="00E6735F"/>
    <w:rsid w:val="00E679A6"/>
    <w:rsid w:val="00E732B9"/>
    <w:rsid w:val="00E75208"/>
    <w:rsid w:val="00E82A20"/>
    <w:rsid w:val="00E83943"/>
    <w:rsid w:val="00E8406F"/>
    <w:rsid w:val="00E92908"/>
    <w:rsid w:val="00EA002B"/>
    <w:rsid w:val="00EB5DAB"/>
    <w:rsid w:val="00EB73CC"/>
    <w:rsid w:val="00EB7C76"/>
    <w:rsid w:val="00EC03D9"/>
    <w:rsid w:val="00EC593D"/>
    <w:rsid w:val="00ED0971"/>
    <w:rsid w:val="00ED1F87"/>
    <w:rsid w:val="00ED4FF3"/>
    <w:rsid w:val="00EF2F1A"/>
    <w:rsid w:val="00EF545D"/>
    <w:rsid w:val="00EF6932"/>
    <w:rsid w:val="00EF75D0"/>
    <w:rsid w:val="00F26C5F"/>
    <w:rsid w:val="00F276FC"/>
    <w:rsid w:val="00F33A3C"/>
    <w:rsid w:val="00F437CD"/>
    <w:rsid w:val="00F4579E"/>
    <w:rsid w:val="00F5066A"/>
    <w:rsid w:val="00F51306"/>
    <w:rsid w:val="00F54221"/>
    <w:rsid w:val="00F55278"/>
    <w:rsid w:val="00F56DCE"/>
    <w:rsid w:val="00F763B9"/>
    <w:rsid w:val="00F80E0E"/>
    <w:rsid w:val="00F874E5"/>
    <w:rsid w:val="00F93276"/>
    <w:rsid w:val="00F94B09"/>
    <w:rsid w:val="00FA18CA"/>
    <w:rsid w:val="00FA786E"/>
    <w:rsid w:val="00FC4229"/>
    <w:rsid w:val="00FC6454"/>
    <w:rsid w:val="00FC7200"/>
    <w:rsid w:val="00FE2296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79DBDE3D-D1A8-4160-8F17-89C7C49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customStyle="1" w:styleId="5">
    <w:name w:val="Σώμα κειμένου (5)"/>
    <w:uiPriority w:val="99"/>
    <w:rsid w:val="00785CD3"/>
    <w:rPr>
      <w:rFonts w:ascii="Arial Narrow" w:hAnsi="Arial Narrow" w:cs="Arial Narrow" w:hint="default"/>
      <w:sz w:val="14"/>
      <w:szCs w:val="14"/>
      <w:shd w:val="clear" w:color="auto" w:fill="FFFFFF"/>
    </w:rPr>
  </w:style>
  <w:style w:type="character" w:customStyle="1" w:styleId="7">
    <w:name w:val="Σώμα κειμένου (7)"/>
    <w:uiPriority w:val="99"/>
    <w:rsid w:val="00785CD3"/>
    <w:rPr>
      <w:rFonts w:ascii="Arial Narrow" w:hAnsi="Arial Narrow" w:cs="Arial Narrow" w:hint="default"/>
      <w:b/>
      <w:bCs/>
      <w:sz w:val="16"/>
      <w:szCs w:val="16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1A47D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7DF"/>
    <w:rPr>
      <w:color w:val="605E5C"/>
      <w:shd w:val="clear" w:color="auto" w:fill="E1DFDD"/>
    </w:rPr>
  </w:style>
  <w:style w:type="table" w:styleId="Tabladecuadrcula4-nfasis6">
    <w:name w:val="Grid Table 4 Accent 6"/>
    <w:basedOn w:val="Tablanormal"/>
    <w:uiPriority w:val="49"/>
    <w:rsid w:val="009843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n-us/hotels/yvrws-sheraton-vancouver-wall-centre/overvie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yndhamhotels.com/trademark/whitehorse-yukon-territory/sternwheeler-hotel-and-conference-centre-trademark/over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C442-8D3D-4498-81A3-763400A3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2025-12-11T21:00:00Z</dcterms:created>
  <dcterms:modified xsi:type="dcterms:W3CDTF">2025-12-11T21:00:00Z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c9b78d56424ce0b1498d6611117e91d2a02de5bd0c1f6f751f647ff72728efe3</vt:lpwstr>
  </property>
</Properties>
</file>